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jc w:val="center"/>
      </w:pPr>
      <w:r>
        <w:rPr>
          <w:b/>
          <w:color w:val="182D48"/>
          <w:sz w:val="60"/>
        </w:rPr>
        <w:t>ALPHABET INC.</w:t>
      </w:r>
    </w:p>
    <w:p>
      <w:pPr>
        <w:jc w:val="center"/>
      </w:pPr>
      <w:r>
        <w:rPr>
          <w:b/>
          <w:color w:val="375470"/>
          <w:sz w:val="26"/>
        </w:rPr>
        <w:t>NASDAQ: GOOGL | CLASS A</w:t>
      </w:r>
    </w:p>
    <w:p/>
    <w:tbl>
      <w:tblPr>
        <w:tblW w:type="auto" w:w="0"/>
        <w:jc w:val="center"/>
        <w:tblLook w:firstColumn="1" w:firstRow="1" w:lastColumn="0" w:lastRow="0" w:noHBand="0" w:noVBand="1" w:val="04A0"/>
      </w:tblPr>
      <w:tblGrid>
        <w:gridCol w:w="2074"/>
        <w:gridCol w:w="2074"/>
        <w:gridCol w:w="2074"/>
        <w:gridCol w:w="2074"/>
        <w:gridCol w:w="2074"/>
      </w:tblGrid>
      <w:tr>
        <w:tc>
          <w:tcPr>
            <w:tcW w:type="dxa" w:w="2074"/>
            <w:vAlign w:val="center"/>
            <w:shd w:fill="18304A"/>
          </w:tcPr>
          <w:p>
            <w:pPr>
              <w:jc w:val="center"/>
            </w:pPr>
            <w:r/>
            <w:r>
              <w:rPr>
                <w:rFonts w:ascii="Aptos" w:hAnsi="Aptos"/>
                <w:b/>
                <w:color w:val="FFFFFF"/>
                <w:sz w:val="17"/>
              </w:rPr>
              <w:t>Recommendation</w:t>
            </w:r>
          </w:p>
        </w:tc>
        <w:tc>
          <w:tcPr>
            <w:tcW w:type="dxa" w:w="2074"/>
            <w:vAlign w:val="center"/>
            <w:shd w:fill="18304A"/>
          </w:tcPr>
          <w:p>
            <w:pPr>
              <w:jc w:val="center"/>
            </w:pPr>
            <w:r/>
            <w:r>
              <w:rPr>
                <w:rFonts w:ascii="Aptos" w:hAnsi="Aptos"/>
                <w:b/>
                <w:color w:val="FFFFFF"/>
                <w:sz w:val="17"/>
              </w:rPr>
              <w:t>12-Month Target</w:t>
            </w:r>
          </w:p>
        </w:tc>
        <w:tc>
          <w:tcPr>
            <w:tcW w:type="dxa" w:w="2074"/>
            <w:vAlign w:val="center"/>
            <w:shd w:fill="18304A"/>
          </w:tcPr>
          <w:p>
            <w:pPr>
              <w:jc w:val="center"/>
            </w:pPr>
            <w:r/>
            <w:r>
              <w:rPr>
                <w:rFonts w:ascii="Aptos" w:hAnsi="Aptos"/>
                <w:b/>
                <w:color w:val="FFFFFF"/>
                <w:sz w:val="17"/>
              </w:rPr>
              <w:t>3/12/26 Close</w:t>
            </w:r>
          </w:p>
        </w:tc>
        <w:tc>
          <w:tcPr>
            <w:tcW w:type="dxa" w:w="2074"/>
            <w:vAlign w:val="center"/>
            <w:shd w:fill="18304A"/>
          </w:tcPr>
          <w:p>
            <w:pPr>
              <w:jc w:val="center"/>
            </w:pPr>
            <w:r/>
            <w:r>
              <w:rPr>
                <w:rFonts w:ascii="Aptos" w:hAnsi="Aptos"/>
                <w:b/>
                <w:color w:val="FFFFFF"/>
                <w:sz w:val="17"/>
              </w:rPr>
              <w:t>Price Upside</w:t>
            </w:r>
          </w:p>
        </w:tc>
        <w:tc>
          <w:tcPr>
            <w:tcW w:type="dxa" w:w="2074"/>
            <w:vAlign w:val="center"/>
            <w:shd w:fill="18304A"/>
          </w:tcPr>
          <w:p>
            <w:pPr>
              <w:jc w:val="center"/>
            </w:pPr>
            <w:r/>
            <w:r>
              <w:rPr>
                <w:rFonts w:ascii="Aptos" w:hAnsi="Aptos"/>
                <w:b/>
                <w:color w:val="FFFFFF"/>
                <w:sz w:val="17"/>
              </w:rPr>
              <w:t>Total Return</w:t>
            </w:r>
          </w:p>
        </w:tc>
      </w:tr>
      <w:tr>
        <w:tc>
          <w:tcPr>
            <w:tcW w:type="dxa" w:w="2074"/>
            <w:vAlign w:val="center"/>
          </w:tcPr>
          <w:p>
            <w:pPr>
              <w:jc w:val="center"/>
            </w:pPr>
            <w:r/>
            <w:r>
              <w:rPr>
                <w:rFonts w:ascii="Aptos" w:hAnsi="Aptos"/>
                <w:b/>
                <w:color w:val="182D48"/>
                <w:sz w:val="26"/>
              </w:rPr>
              <w:t>BUY</w:t>
            </w:r>
          </w:p>
        </w:tc>
        <w:tc>
          <w:tcPr>
            <w:tcW w:type="dxa" w:w="2074"/>
            <w:vAlign w:val="center"/>
          </w:tcPr>
          <w:p>
            <w:pPr>
              <w:jc w:val="center"/>
            </w:pPr>
            <w:r/>
            <w:r>
              <w:rPr>
                <w:rFonts w:ascii="Aptos" w:hAnsi="Aptos"/>
                <w:b/>
                <w:color w:val="182D48"/>
                <w:sz w:val="26"/>
              </w:rPr>
              <w:t>$320</w:t>
            </w:r>
          </w:p>
        </w:tc>
        <w:tc>
          <w:tcPr>
            <w:tcW w:type="dxa" w:w="2074"/>
            <w:vAlign w:val="center"/>
          </w:tcPr>
          <w:p>
            <w:pPr>
              <w:jc w:val="center"/>
            </w:pPr>
            <w:r/>
            <w:r>
              <w:rPr>
                <w:rFonts w:ascii="Aptos" w:hAnsi="Aptos"/>
                <w:b/>
                <w:color w:val="182D48"/>
                <w:sz w:val="26"/>
              </w:rPr>
              <w:t>$303.55</w:t>
            </w:r>
          </w:p>
        </w:tc>
        <w:tc>
          <w:tcPr>
            <w:tcW w:type="dxa" w:w="2074"/>
            <w:vAlign w:val="center"/>
          </w:tcPr>
          <w:p>
            <w:pPr>
              <w:jc w:val="center"/>
            </w:pPr>
            <w:r/>
            <w:r>
              <w:rPr>
                <w:rFonts w:ascii="Aptos" w:hAnsi="Aptos"/>
                <w:b/>
                <w:color w:val="182D48"/>
                <w:sz w:val="26"/>
              </w:rPr>
              <w:t>5.4%</w:t>
            </w:r>
          </w:p>
        </w:tc>
        <w:tc>
          <w:tcPr>
            <w:tcW w:type="dxa" w:w="2074"/>
            <w:vAlign w:val="center"/>
          </w:tcPr>
          <w:p>
            <w:pPr>
              <w:jc w:val="center"/>
            </w:pPr>
            <w:r/>
            <w:r>
              <w:rPr>
                <w:rFonts w:ascii="Aptos" w:hAnsi="Aptos"/>
                <w:b/>
                <w:color w:val="182D48"/>
                <w:sz w:val="26"/>
              </w:rPr>
              <w:t>5.7%</w:t>
            </w:r>
          </w:p>
        </w:tc>
      </w:tr>
    </w:tbl>
    <w:p/>
    <w:p>
      <w:pPr>
        <w:pStyle w:val="Callout"/>
      </w:pPr>
      <w:r>
        <w:rPr>
          <w:b/>
        </w:rPr>
        <w:t xml:space="preserve">Investment view: </w:t>
      </w:r>
      <w:r>
        <w:t>Alphabet remains the best-positioned scaled digital platform to convert AI adoption into revenue across Search, Cloud, subscriptions, and enterprise software. The 2026 infrastructure build creates a near-term free-cash-flow trough, but the base case assumes durable double-digit revenue growth, expanding Cloud profitability, and normalization of capital intensity beginning in 2027.</w:t>
      </w:r>
    </w:p>
    <w:p>
      <w:pPr>
        <w:pStyle w:val="Heading1"/>
      </w:pPr>
      <w:r>
        <w:t>Investment Thesis</w:t>
      </w:r>
    </w:p>
    <w:p>
      <w:pPr>
        <w:ind w:left="144"/>
      </w:pPr>
      <w:r>
        <w:rPr>
          <w:b/>
          <w:color w:val="182D48"/>
        </w:rPr>
        <w:t xml:space="preserve">AI strengthens rather than replaces the core Search franchise. </w:t>
      </w:r>
      <w:r>
        <w:t>Management reported record Search usage, 17% fourth-quarter Search growth, and no observed cannibalization from Gemini. AI Overviews and AI Mode expand query complexity and create additional commercial inventory.</w:t>
      </w:r>
    </w:p>
    <w:p>
      <w:pPr>
        <w:ind w:left="144"/>
      </w:pPr>
      <w:r>
        <w:rPr>
          <w:b/>
          <w:color w:val="182D48"/>
        </w:rPr>
        <w:t xml:space="preserve">Google Cloud has reached a structurally stronger growth and margin phase. </w:t>
      </w:r>
      <w:r>
        <w:t>Cloud revenue grew 36% in 2025 and 48% in the fourth quarter, while year-end backlog reached $240 billion. AI customers adopt more products, supporting revenue depth and operating leverage.</w:t>
      </w:r>
    </w:p>
    <w:p>
      <w:pPr>
        <w:ind w:left="144"/>
      </w:pPr>
      <w:r>
        <w:rPr>
          <w:b/>
          <w:color w:val="182D48"/>
        </w:rPr>
        <w:t xml:space="preserve">Alphabet can absorb the AI investment cycle from a position of financial strength. </w:t>
      </w:r>
      <w:r>
        <w:t>The company generated $164.7 billion of 2025 operating cash flow and held $126.8 billion of cash and marketable securities. Even after a major 2026 capex step-up, the balance sheet supports sustained investment and shareholder returns.</w:t>
      </w:r>
    </w:p>
    <w:p>
      <w:pPr>
        <w:pStyle w:val="Heading2"/>
      </w:pPr>
      <w:r>
        <w:t>Key Risks</w:t>
      </w:r>
    </w:p>
    <w:p>
      <w:r>
        <w:t>The principal risks are: (1) AI infrastructure returns arriving more slowly than expected, (2) regulatory remedies that impair Search distribution economics, (3) generative AI competition reducing query share or ad monetization, and (4) legal, privacy, and antitrust costs.</w:t>
      </w:r>
    </w:p>
    <w:p>
      <w:pPr>
        <w:spacing w:before="40" w:after="80"/>
      </w:pPr>
      <w:r>
        <w:rPr>
          <w:i/>
          <w:color w:val="5A5A5A"/>
          <w:sz w:val="15"/>
        </w:rPr>
        <w:t>Source: Alphabet 2025 Form 10-K; Alphabet Q4 2025 earnings release and conference call; GOOGL historical close from Yahoo Finance. Financial data available on or before March 12, 2026.</w:t>
      </w:r>
    </w:p>
    <w:p>
      <w:r>
        <w:br w:type="page"/>
      </w:r>
    </w:p>
    <w:p>
      <w:pPr>
        <w:pStyle w:val="Heading1"/>
      </w:pPr>
      <w:r>
        <w:t>1. Company and Business Overview</w:t>
      </w:r>
    </w:p>
    <w:p>
      <w:r>
        <w:t>Alphabet is a global technology holding company whose principal operating businesses are organized into Google Services, Google Cloud, and Other Bets. Google Services includes Search, YouTube, Android, Chrome, Maps, Google Play, devices, and consumer subscriptions. Google Cloud includes Google Cloud Platform, Workspace, cybersecurity, data and analytics, and enterprise AI products. Other Bets includes earlier-stage businesses such as Waymo.</w:t>
      </w:r>
    </w:p>
    <w:p>
      <w:r>
        <w:drawing>
          <wp:inline xmlns:a="http://schemas.openxmlformats.org/drawingml/2006/main" xmlns:pic="http://schemas.openxmlformats.org/drawingml/2006/picture">
            <wp:extent cx="6583680" cy="3657600"/>
            <wp:docPr id="1" name="Picture 1"/>
            <wp:cNvGraphicFramePr>
              <a:graphicFrameLocks noChangeAspect="1"/>
            </wp:cNvGraphicFramePr>
            <a:graphic>
              <a:graphicData uri="http://schemas.openxmlformats.org/drawingml/2006/picture">
                <pic:pic>
                  <pic:nvPicPr>
                    <pic:cNvPr id="0" name="revenue_mix.png"/>
                    <pic:cNvPicPr/>
                  </pic:nvPicPr>
                  <pic:blipFill>
                    <a:blip r:embed="rId11"/>
                    <a:stretch>
                      <a:fillRect/>
                    </a:stretch>
                  </pic:blipFill>
                  <pic:spPr>
                    <a:xfrm>
                      <a:off x="0" y="0"/>
                      <a:ext cx="6583680" cy="3657600"/>
                    </a:xfrm>
                    <a:prstGeom prst="rect"/>
                  </pic:spPr>
                </pic:pic>
              </a:graphicData>
            </a:graphic>
          </wp:inline>
        </w:drawing>
      </w:r>
    </w:p>
    <w:p>
      <w:pPr>
        <w:spacing w:before="40" w:after="80"/>
      </w:pPr>
      <w:r>
        <w:rPr>
          <w:i/>
          <w:color w:val="5A5A5A"/>
          <w:sz w:val="15"/>
        </w:rPr>
        <w:t>Source: Alphabet 2025 Form 10-K. Revenue figures in $ billions.</w:t>
      </w:r>
    </w:p>
    <w:p>
      <w:pPr>
        <w:pStyle w:val="Heading2"/>
      </w:pPr>
      <w:r>
        <w:t>Business model and economic engine</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18304A"/>
          </w:tcPr>
          <w:p>
            <w:pPr>
              <w:jc w:val="center"/>
            </w:pPr>
            <w:r/>
            <w:r>
              <w:rPr>
                <w:rFonts w:ascii="Aptos" w:hAnsi="Aptos"/>
                <w:b/>
                <w:color w:val="FFFFFF"/>
                <w:sz w:val="15"/>
              </w:rPr>
              <w:t>Business</w:t>
            </w:r>
          </w:p>
        </w:tc>
        <w:tc>
          <w:tcPr>
            <w:tcW w:type="dxa" w:w="2592"/>
            <w:vAlign w:val="center"/>
            <w:shd w:fill="18304A"/>
          </w:tcPr>
          <w:p>
            <w:pPr>
              <w:jc w:val="center"/>
            </w:pPr>
            <w:r/>
            <w:r>
              <w:rPr>
                <w:rFonts w:ascii="Aptos" w:hAnsi="Aptos"/>
                <w:b/>
                <w:color w:val="FFFFFF"/>
                <w:sz w:val="15"/>
              </w:rPr>
              <w:t>2025 Revenue</w:t>
            </w:r>
          </w:p>
        </w:tc>
        <w:tc>
          <w:tcPr>
            <w:tcW w:type="dxa" w:w="2592"/>
            <w:vAlign w:val="center"/>
            <w:shd w:fill="18304A"/>
          </w:tcPr>
          <w:p>
            <w:pPr>
              <w:jc w:val="center"/>
            </w:pPr>
            <w:r/>
            <w:r>
              <w:rPr>
                <w:rFonts w:ascii="Aptos" w:hAnsi="Aptos"/>
                <w:b/>
                <w:color w:val="FFFFFF"/>
                <w:sz w:val="15"/>
              </w:rPr>
              <w:t>Primary Economics</w:t>
            </w:r>
          </w:p>
        </w:tc>
        <w:tc>
          <w:tcPr>
            <w:tcW w:type="dxa" w:w="2592"/>
            <w:vAlign w:val="center"/>
            <w:shd w:fill="18304A"/>
          </w:tcPr>
          <w:p>
            <w:pPr>
              <w:jc w:val="center"/>
            </w:pPr>
            <w:r/>
            <w:r>
              <w:rPr>
                <w:rFonts w:ascii="Aptos" w:hAnsi="Aptos"/>
                <w:b/>
                <w:color w:val="FFFFFF"/>
                <w:sz w:val="15"/>
              </w:rPr>
              <w:t>Strategic Role</w:t>
            </w:r>
          </w:p>
        </w:tc>
      </w:tr>
      <w:tr>
        <w:tc>
          <w:tcPr>
            <w:tcW w:type="dxa" w:w="2592"/>
            <w:vAlign w:val="center"/>
          </w:tcPr>
          <w:p>
            <w:pPr>
              <w:jc w:val="left"/>
            </w:pPr>
            <w:r/>
            <w:r>
              <w:rPr>
                <w:rFonts w:ascii="Aptos" w:hAnsi="Aptos"/>
                <w:b w:val="0"/>
                <w:sz w:val="15"/>
              </w:rPr>
              <w:t>Google Search &amp; other</w:t>
            </w:r>
          </w:p>
        </w:tc>
        <w:tc>
          <w:tcPr>
            <w:tcW w:type="dxa" w:w="2592"/>
            <w:vAlign w:val="center"/>
          </w:tcPr>
          <w:p>
            <w:pPr>
              <w:jc w:val="right"/>
            </w:pPr>
            <w:r/>
            <w:r>
              <w:rPr>
                <w:rFonts w:ascii="Aptos" w:hAnsi="Aptos"/>
                <w:b w:val="0"/>
                <w:sz w:val="15"/>
              </w:rPr>
              <w:t>$224.5B</w:t>
            </w:r>
          </w:p>
        </w:tc>
        <w:tc>
          <w:tcPr>
            <w:tcW w:type="dxa" w:w="2592"/>
            <w:vAlign w:val="center"/>
          </w:tcPr>
          <w:p>
            <w:pPr>
              <w:jc w:val="right"/>
            </w:pPr>
            <w:r/>
            <w:r>
              <w:rPr>
                <w:rFonts w:ascii="Aptos" w:hAnsi="Aptos"/>
                <w:b w:val="0"/>
                <w:sz w:val="15"/>
              </w:rPr>
              <w:t>Auction-based advertising; high intent and strong incremental margins</w:t>
            </w:r>
          </w:p>
        </w:tc>
        <w:tc>
          <w:tcPr>
            <w:tcW w:type="dxa" w:w="2592"/>
            <w:vAlign w:val="center"/>
          </w:tcPr>
          <w:p>
            <w:pPr>
              <w:jc w:val="right"/>
            </w:pPr>
            <w:r/>
            <w:r>
              <w:rPr>
                <w:rFonts w:ascii="Aptos" w:hAnsi="Aptos"/>
                <w:b w:val="0"/>
                <w:sz w:val="15"/>
              </w:rPr>
              <w:t>Core cash engine and distribution layer for AI</w:t>
            </w:r>
          </w:p>
        </w:tc>
      </w:tr>
      <w:tr>
        <w:tc>
          <w:tcPr>
            <w:tcW w:type="dxa" w:w="2592"/>
            <w:vAlign w:val="center"/>
            <w:shd w:fill="EEF2F6"/>
          </w:tcPr>
          <w:p>
            <w:pPr>
              <w:jc w:val="left"/>
            </w:pPr>
            <w:r/>
            <w:r>
              <w:rPr>
                <w:rFonts w:ascii="Aptos" w:hAnsi="Aptos"/>
                <w:b w:val="0"/>
                <w:sz w:val="15"/>
              </w:rPr>
              <w:t>YouTube ads</w:t>
            </w:r>
          </w:p>
        </w:tc>
        <w:tc>
          <w:tcPr>
            <w:tcW w:type="dxa" w:w="2592"/>
            <w:vAlign w:val="center"/>
            <w:shd w:fill="EEF2F6"/>
          </w:tcPr>
          <w:p>
            <w:pPr>
              <w:jc w:val="right"/>
            </w:pPr>
            <w:r/>
            <w:r>
              <w:rPr>
                <w:rFonts w:ascii="Aptos" w:hAnsi="Aptos"/>
                <w:b w:val="0"/>
                <w:sz w:val="15"/>
              </w:rPr>
              <w:t>$40.4B</w:t>
            </w:r>
          </w:p>
        </w:tc>
        <w:tc>
          <w:tcPr>
            <w:tcW w:type="dxa" w:w="2592"/>
            <w:vAlign w:val="center"/>
            <w:shd w:fill="EEF2F6"/>
          </w:tcPr>
          <w:p>
            <w:pPr>
              <w:jc w:val="right"/>
            </w:pPr>
            <w:r/>
            <w:r>
              <w:rPr>
                <w:rFonts w:ascii="Aptos" w:hAnsi="Aptos"/>
                <w:b w:val="0"/>
                <w:sz w:val="15"/>
              </w:rPr>
              <w:t>Brand and direct-response advertising</w:t>
            </w:r>
          </w:p>
        </w:tc>
        <w:tc>
          <w:tcPr>
            <w:tcW w:type="dxa" w:w="2592"/>
            <w:vAlign w:val="center"/>
            <w:shd w:fill="EEF2F6"/>
          </w:tcPr>
          <w:p>
            <w:pPr>
              <w:jc w:val="right"/>
            </w:pPr>
            <w:r/>
            <w:r>
              <w:rPr>
                <w:rFonts w:ascii="Aptos" w:hAnsi="Aptos"/>
                <w:b w:val="0"/>
                <w:sz w:val="15"/>
              </w:rPr>
              <w:t>Video attention, creator ecosystem, connected TV</w:t>
            </w:r>
          </w:p>
        </w:tc>
      </w:tr>
      <w:tr>
        <w:tc>
          <w:tcPr>
            <w:tcW w:type="dxa" w:w="2592"/>
            <w:vAlign w:val="center"/>
          </w:tcPr>
          <w:p>
            <w:pPr>
              <w:jc w:val="left"/>
            </w:pPr>
            <w:r/>
            <w:r>
              <w:rPr>
                <w:rFonts w:ascii="Aptos" w:hAnsi="Aptos"/>
                <w:b w:val="0"/>
                <w:sz w:val="15"/>
              </w:rPr>
              <w:t>Google Network</w:t>
            </w:r>
          </w:p>
        </w:tc>
        <w:tc>
          <w:tcPr>
            <w:tcW w:type="dxa" w:w="2592"/>
            <w:vAlign w:val="center"/>
          </w:tcPr>
          <w:p>
            <w:pPr>
              <w:jc w:val="right"/>
            </w:pPr>
            <w:r/>
            <w:r>
              <w:rPr>
                <w:rFonts w:ascii="Aptos" w:hAnsi="Aptos"/>
                <w:b w:val="0"/>
                <w:sz w:val="15"/>
              </w:rPr>
              <w:t>$29.8B</w:t>
            </w:r>
          </w:p>
        </w:tc>
        <w:tc>
          <w:tcPr>
            <w:tcW w:type="dxa" w:w="2592"/>
            <w:vAlign w:val="center"/>
          </w:tcPr>
          <w:p>
            <w:pPr>
              <w:jc w:val="right"/>
            </w:pPr>
            <w:r/>
            <w:r>
              <w:rPr>
                <w:rFonts w:ascii="Aptos" w:hAnsi="Aptos"/>
                <w:b w:val="0"/>
                <w:sz w:val="15"/>
              </w:rPr>
              <w:t>Ad placement on third-party properties</w:t>
            </w:r>
          </w:p>
        </w:tc>
        <w:tc>
          <w:tcPr>
            <w:tcW w:type="dxa" w:w="2592"/>
            <w:vAlign w:val="center"/>
          </w:tcPr>
          <w:p>
            <w:pPr>
              <w:jc w:val="right"/>
            </w:pPr>
            <w:r/>
            <w:r>
              <w:rPr>
                <w:rFonts w:ascii="Aptos" w:hAnsi="Aptos"/>
                <w:b w:val="0"/>
                <w:sz w:val="15"/>
              </w:rPr>
              <w:t>Extends advertiser reach; structurally lower-growth</w:t>
            </w:r>
          </w:p>
        </w:tc>
      </w:tr>
      <w:tr>
        <w:tc>
          <w:tcPr>
            <w:tcW w:type="dxa" w:w="2592"/>
            <w:vAlign w:val="center"/>
            <w:shd w:fill="EEF2F6"/>
          </w:tcPr>
          <w:p>
            <w:pPr>
              <w:jc w:val="left"/>
            </w:pPr>
            <w:r/>
            <w:r>
              <w:rPr>
                <w:rFonts w:ascii="Aptos" w:hAnsi="Aptos"/>
                <w:b w:val="0"/>
                <w:sz w:val="15"/>
              </w:rPr>
              <w:t>Subscriptions, platforms &amp; devices</w:t>
            </w:r>
          </w:p>
        </w:tc>
        <w:tc>
          <w:tcPr>
            <w:tcW w:type="dxa" w:w="2592"/>
            <w:vAlign w:val="center"/>
            <w:shd w:fill="EEF2F6"/>
          </w:tcPr>
          <w:p>
            <w:pPr>
              <w:jc w:val="right"/>
            </w:pPr>
            <w:r/>
            <w:r>
              <w:rPr>
                <w:rFonts w:ascii="Aptos" w:hAnsi="Aptos"/>
                <w:b w:val="0"/>
                <w:sz w:val="15"/>
              </w:rPr>
              <w:t>$48.0B</w:t>
            </w:r>
          </w:p>
        </w:tc>
        <w:tc>
          <w:tcPr>
            <w:tcW w:type="dxa" w:w="2592"/>
            <w:vAlign w:val="center"/>
            <w:shd w:fill="EEF2F6"/>
          </w:tcPr>
          <w:p>
            <w:pPr>
              <w:jc w:val="right"/>
            </w:pPr>
            <w:r/>
            <w:r>
              <w:rPr>
                <w:rFonts w:ascii="Aptos" w:hAnsi="Aptos"/>
                <w:b w:val="0"/>
                <w:sz w:val="15"/>
              </w:rPr>
              <w:t>YouTube/Google One subscriptions, Play, devices</w:t>
            </w:r>
          </w:p>
        </w:tc>
        <w:tc>
          <w:tcPr>
            <w:tcW w:type="dxa" w:w="2592"/>
            <w:vAlign w:val="center"/>
            <w:shd w:fill="EEF2F6"/>
          </w:tcPr>
          <w:p>
            <w:pPr>
              <w:jc w:val="right"/>
            </w:pPr>
            <w:r/>
            <w:r>
              <w:rPr>
                <w:rFonts w:ascii="Aptos" w:hAnsi="Aptos"/>
                <w:b w:val="0"/>
                <w:sz w:val="15"/>
              </w:rPr>
              <w:t>Diversifies revenue and monetizes consumer ecosystem</w:t>
            </w:r>
          </w:p>
        </w:tc>
      </w:tr>
      <w:tr>
        <w:tc>
          <w:tcPr>
            <w:tcW w:type="dxa" w:w="2592"/>
            <w:vAlign w:val="center"/>
          </w:tcPr>
          <w:p>
            <w:pPr>
              <w:jc w:val="left"/>
            </w:pPr>
            <w:r/>
            <w:r>
              <w:rPr>
                <w:rFonts w:ascii="Aptos" w:hAnsi="Aptos"/>
                <w:b w:val="0"/>
                <w:sz w:val="15"/>
              </w:rPr>
              <w:t>Google Cloud</w:t>
            </w:r>
          </w:p>
        </w:tc>
        <w:tc>
          <w:tcPr>
            <w:tcW w:type="dxa" w:w="2592"/>
            <w:vAlign w:val="center"/>
          </w:tcPr>
          <w:p>
            <w:pPr>
              <w:jc w:val="right"/>
            </w:pPr>
            <w:r/>
            <w:r>
              <w:rPr>
                <w:rFonts w:ascii="Aptos" w:hAnsi="Aptos"/>
                <w:b w:val="0"/>
                <w:sz w:val="15"/>
              </w:rPr>
              <w:t>$58.7B</w:t>
            </w:r>
          </w:p>
        </w:tc>
        <w:tc>
          <w:tcPr>
            <w:tcW w:type="dxa" w:w="2592"/>
            <w:vAlign w:val="center"/>
          </w:tcPr>
          <w:p>
            <w:pPr>
              <w:jc w:val="right"/>
            </w:pPr>
            <w:r/>
            <w:r>
              <w:rPr>
                <w:rFonts w:ascii="Aptos" w:hAnsi="Aptos"/>
                <w:b w:val="0"/>
                <w:sz w:val="15"/>
              </w:rPr>
              <w:t>Consumption and subscriptions</w:t>
            </w:r>
          </w:p>
        </w:tc>
        <w:tc>
          <w:tcPr>
            <w:tcW w:type="dxa" w:w="2592"/>
            <w:vAlign w:val="center"/>
          </w:tcPr>
          <w:p>
            <w:pPr>
              <w:jc w:val="right"/>
            </w:pPr>
            <w:r/>
            <w:r>
              <w:rPr>
                <w:rFonts w:ascii="Aptos" w:hAnsi="Aptos"/>
                <w:b w:val="0"/>
                <w:sz w:val="15"/>
              </w:rPr>
              <w:t>Fastest-growing scaled segment and AI monetization platform</w:t>
            </w:r>
          </w:p>
        </w:tc>
      </w:tr>
      <w:tr>
        <w:tc>
          <w:tcPr>
            <w:tcW w:type="dxa" w:w="2592"/>
            <w:vAlign w:val="center"/>
            <w:shd w:fill="EEF2F6"/>
          </w:tcPr>
          <w:p>
            <w:pPr>
              <w:jc w:val="left"/>
            </w:pPr>
            <w:r/>
            <w:r>
              <w:rPr>
                <w:rFonts w:ascii="Aptos" w:hAnsi="Aptos"/>
                <w:b w:val="0"/>
                <w:sz w:val="15"/>
              </w:rPr>
              <w:t>Other Bets</w:t>
            </w:r>
          </w:p>
        </w:tc>
        <w:tc>
          <w:tcPr>
            <w:tcW w:type="dxa" w:w="2592"/>
            <w:vAlign w:val="center"/>
            <w:shd w:fill="EEF2F6"/>
          </w:tcPr>
          <w:p>
            <w:pPr>
              <w:jc w:val="right"/>
            </w:pPr>
            <w:r/>
            <w:r>
              <w:rPr>
                <w:rFonts w:ascii="Aptos" w:hAnsi="Aptos"/>
                <w:b w:val="0"/>
                <w:sz w:val="15"/>
              </w:rPr>
              <w:t>$1.5B</w:t>
            </w:r>
          </w:p>
        </w:tc>
        <w:tc>
          <w:tcPr>
            <w:tcW w:type="dxa" w:w="2592"/>
            <w:vAlign w:val="center"/>
            <w:shd w:fill="EEF2F6"/>
          </w:tcPr>
          <w:p>
            <w:pPr>
              <w:jc w:val="right"/>
            </w:pPr>
            <w:r/>
            <w:r>
              <w:rPr>
                <w:rFonts w:ascii="Aptos" w:hAnsi="Aptos"/>
                <w:b w:val="0"/>
                <w:sz w:val="15"/>
              </w:rPr>
              <w:t>Early-stage products and services</w:t>
            </w:r>
          </w:p>
        </w:tc>
        <w:tc>
          <w:tcPr>
            <w:tcW w:type="dxa" w:w="2592"/>
            <w:vAlign w:val="center"/>
            <w:shd w:fill="EEF2F6"/>
          </w:tcPr>
          <w:p>
            <w:pPr>
              <w:jc w:val="right"/>
            </w:pPr>
            <w:r/>
            <w:r>
              <w:rPr>
                <w:rFonts w:ascii="Aptos" w:hAnsi="Aptos"/>
                <w:b w:val="0"/>
                <w:sz w:val="15"/>
              </w:rPr>
              <w:t>Long-duration option value, led by Waymo</w:t>
            </w:r>
          </w:p>
        </w:tc>
      </w:tr>
    </w:tbl>
    <w:p>
      <w:pPr>
        <w:spacing w:after="0"/>
      </w:pPr>
    </w:p>
    <w:p>
      <w:pPr>
        <w:pStyle w:val="Heading2"/>
      </w:pPr>
      <w:r>
        <w:t>Competitive positioning</w:t>
      </w:r>
    </w:p>
    <w:p>
      <w:r>
        <w:t>Alphabet's advantage is not a single model. It is the integration of global consumer distribution, proprietary data, custom TPUs, leading foundation models, enterprise sales, and an advertising system capable of monetizing commercial intent. This full-stack position reduces reliance on external compute vendors and gives Alphabet multiple paths to monetize each AI improvement.</w:t>
      </w:r>
    </w:p>
    <w:p>
      <w:r>
        <w:br w:type="page"/>
      </w:r>
    </w:p>
    <w:p>
      <w:pPr>
        <w:pStyle w:val="Heading1"/>
      </w:pPr>
      <w:r>
        <w:t>2. Industry and Competitive Positioning</w:t>
      </w:r>
    </w:p>
    <w:p>
      <w:pPr>
        <w:pStyle w:val="Heading2"/>
      </w:pPr>
      <w:r>
        <w:t>Digital advertising</w:t>
      </w:r>
    </w:p>
    <w:p>
      <w:r>
        <w:t>Search advertising remains attractive because advertiser spending is tied closely to measurable consumer intent. Alphabet's 2025 Search growth reflected higher query activity, advertiser spending, and improvements in ad formats and delivery. The key debate is whether generative AI shifts discovery away from traditional search. The base case instead assumes that conversational interfaces increase the number, length, and complexity of queries while Google's ad stack adapts to the new formats.</w:t>
      </w:r>
    </w:p>
    <w:p>
      <w:pPr>
        <w:pStyle w:val="Heading2"/>
      </w:pPr>
      <w:r>
        <w:t>Cloud and enterprise AI</w:t>
      </w:r>
    </w:p>
    <w:p>
      <w:r>
        <w:t>Enterprise cloud demand is increasingly driven by training, inference, data modernization, cybersecurity, and AI agents. Google Cloud benefits from proprietary TPUs, Gemini models, Vertex AI, Workspace distribution, and partnerships with leading AI developers. Nearly 75% of Cloud customers had used Google's vertically optimized AI offerings by the end of 2025, and generative-AI product revenue grew nearly 400% year over year in the fourth quarter.</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18304A"/>
          </w:tcPr>
          <w:p>
            <w:pPr>
              <w:jc w:val="center"/>
            </w:pPr>
            <w:r/>
            <w:r>
              <w:rPr>
                <w:rFonts w:ascii="Aptos" w:hAnsi="Aptos"/>
                <w:b/>
                <w:color w:val="FFFFFF"/>
                <w:sz w:val="15"/>
              </w:rPr>
              <w:t>Dimension</w:t>
            </w:r>
          </w:p>
        </w:tc>
        <w:tc>
          <w:tcPr>
            <w:tcW w:type="dxa" w:w="3456"/>
            <w:vAlign w:val="center"/>
            <w:shd w:fill="18304A"/>
          </w:tcPr>
          <w:p>
            <w:pPr>
              <w:jc w:val="center"/>
            </w:pPr>
            <w:r/>
            <w:r>
              <w:rPr>
                <w:rFonts w:ascii="Aptos" w:hAnsi="Aptos"/>
                <w:b/>
                <w:color w:val="FFFFFF"/>
                <w:sz w:val="15"/>
              </w:rPr>
              <w:t>Alphabet Strength</w:t>
            </w:r>
          </w:p>
        </w:tc>
        <w:tc>
          <w:tcPr>
            <w:tcW w:type="dxa" w:w="3456"/>
            <w:vAlign w:val="center"/>
            <w:shd w:fill="18304A"/>
          </w:tcPr>
          <w:p>
            <w:pPr>
              <w:jc w:val="center"/>
            </w:pPr>
            <w:r/>
            <w:r>
              <w:rPr>
                <w:rFonts w:ascii="Aptos" w:hAnsi="Aptos"/>
                <w:b/>
                <w:color w:val="FFFFFF"/>
                <w:sz w:val="15"/>
              </w:rPr>
              <w:t>Primary Competitive Risk</w:t>
            </w:r>
          </w:p>
        </w:tc>
      </w:tr>
      <w:tr>
        <w:tc>
          <w:tcPr>
            <w:tcW w:type="dxa" w:w="3456"/>
            <w:vAlign w:val="center"/>
          </w:tcPr>
          <w:p>
            <w:pPr>
              <w:jc w:val="left"/>
            </w:pPr>
            <w:r/>
            <w:r>
              <w:rPr>
                <w:rFonts w:ascii="Aptos" w:hAnsi="Aptos"/>
                <w:b w:val="0"/>
                <w:sz w:val="15"/>
              </w:rPr>
              <w:t>Consumer distribution</w:t>
            </w:r>
          </w:p>
        </w:tc>
        <w:tc>
          <w:tcPr>
            <w:tcW w:type="dxa" w:w="3456"/>
            <w:vAlign w:val="center"/>
          </w:tcPr>
          <w:p>
            <w:pPr>
              <w:jc w:val="right"/>
            </w:pPr>
            <w:r/>
            <w:r>
              <w:rPr>
                <w:rFonts w:ascii="Aptos" w:hAnsi="Aptos"/>
                <w:b w:val="0"/>
                <w:sz w:val="15"/>
              </w:rPr>
              <w:t>Search, Android, Chrome, YouTube, Maps and Gmail reach billions of users</w:t>
            </w:r>
          </w:p>
        </w:tc>
        <w:tc>
          <w:tcPr>
            <w:tcW w:type="dxa" w:w="3456"/>
            <w:vAlign w:val="center"/>
          </w:tcPr>
          <w:p>
            <w:pPr>
              <w:jc w:val="right"/>
            </w:pPr>
            <w:r/>
            <w:r>
              <w:rPr>
                <w:rFonts w:ascii="Aptos" w:hAnsi="Aptos"/>
                <w:b w:val="0"/>
                <w:sz w:val="15"/>
              </w:rPr>
              <w:t>User behavior may fragment across standalone AI assistants</w:t>
            </w:r>
          </w:p>
        </w:tc>
      </w:tr>
      <w:tr>
        <w:tc>
          <w:tcPr>
            <w:tcW w:type="dxa" w:w="3456"/>
            <w:vAlign w:val="center"/>
            <w:shd w:fill="EEF2F6"/>
          </w:tcPr>
          <w:p>
            <w:pPr>
              <w:jc w:val="left"/>
            </w:pPr>
            <w:r/>
            <w:r>
              <w:rPr>
                <w:rFonts w:ascii="Aptos" w:hAnsi="Aptos"/>
                <w:b w:val="0"/>
                <w:sz w:val="15"/>
              </w:rPr>
              <w:t>AI infrastructure</w:t>
            </w:r>
          </w:p>
        </w:tc>
        <w:tc>
          <w:tcPr>
            <w:tcW w:type="dxa" w:w="3456"/>
            <w:vAlign w:val="center"/>
            <w:shd w:fill="EEF2F6"/>
          </w:tcPr>
          <w:p>
            <w:pPr>
              <w:jc w:val="right"/>
            </w:pPr>
            <w:r/>
            <w:r>
              <w:rPr>
                <w:rFonts w:ascii="Aptos" w:hAnsi="Aptos"/>
                <w:b w:val="0"/>
                <w:sz w:val="15"/>
              </w:rPr>
              <w:t>TPUs, NVIDIA access, global data centers and network</w:t>
            </w:r>
          </w:p>
        </w:tc>
        <w:tc>
          <w:tcPr>
            <w:tcW w:type="dxa" w:w="3456"/>
            <w:vAlign w:val="center"/>
            <w:shd w:fill="EEF2F6"/>
          </w:tcPr>
          <w:p>
            <w:pPr>
              <w:jc w:val="right"/>
            </w:pPr>
            <w:r/>
            <w:r>
              <w:rPr>
                <w:rFonts w:ascii="Aptos" w:hAnsi="Aptos"/>
                <w:b w:val="0"/>
                <w:sz w:val="15"/>
              </w:rPr>
              <w:t>Capital requirements and rapid hardware obsolescence</w:t>
            </w:r>
          </w:p>
        </w:tc>
      </w:tr>
      <w:tr>
        <w:tc>
          <w:tcPr>
            <w:tcW w:type="dxa" w:w="3456"/>
            <w:vAlign w:val="center"/>
          </w:tcPr>
          <w:p>
            <w:pPr>
              <w:jc w:val="left"/>
            </w:pPr>
            <w:r/>
            <w:r>
              <w:rPr>
                <w:rFonts w:ascii="Aptos" w:hAnsi="Aptos"/>
                <w:b w:val="0"/>
                <w:sz w:val="15"/>
              </w:rPr>
              <w:t>Models and products</w:t>
            </w:r>
          </w:p>
        </w:tc>
        <w:tc>
          <w:tcPr>
            <w:tcW w:type="dxa" w:w="3456"/>
            <w:vAlign w:val="center"/>
          </w:tcPr>
          <w:p>
            <w:pPr>
              <w:jc w:val="right"/>
            </w:pPr>
            <w:r/>
            <w:r>
              <w:rPr>
                <w:rFonts w:ascii="Aptos" w:hAnsi="Aptos"/>
                <w:b w:val="0"/>
                <w:sz w:val="15"/>
              </w:rPr>
              <w:t>Gemini integrated across consumer and enterprise surfaces</w:t>
            </w:r>
          </w:p>
        </w:tc>
        <w:tc>
          <w:tcPr>
            <w:tcW w:type="dxa" w:w="3456"/>
            <w:vAlign w:val="center"/>
          </w:tcPr>
          <w:p>
            <w:pPr>
              <w:jc w:val="right"/>
            </w:pPr>
            <w:r/>
            <w:r>
              <w:rPr>
                <w:rFonts w:ascii="Aptos" w:hAnsi="Aptos"/>
                <w:b w:val="0"/>
                <w:sz w:val="15"/>
              </w:rPr>
              <w:t>Model leadership may rotate quickly</w:t>
            </w:r>
          </w:p>
        </w:tc>
      </w:tr>
      <w:tr>
        <w:tc>
          <w:tcPr>
            <w:tcW w:type="dxa" w:w="3456"/>
            <w:vAlign w:val="center"/>
            <w:shd w:fill="EEF2F6"/>
          </w:tcPr>
          <w:p>
            <w:pPr>
              <w:jc w:val="left"/>
            </w:pPr>
            <w:r/>
            <w:r>
              <w:rPr>
                <w:rFonts w:ascii="Aptos" w:hAnsi="Aptos"/>
                <w:b w:val="0"/>
                <w:sz w:val="15"/>
              </w:rPr>
              <w:t>Advertising</w:t>
            </w:r>
          </w:p>
        </w:tc>
        <w:tc>
          <w:tcPr>
            <w:tcW w:type="dxa" w:w="3456"/>
            <w:vAlign w:val="center"/>
            <w:shd w:fill="EEF2F6"/>
          </w:tcPr>
          <w:p>
            <w:pPr>
              <w:jc w:val="right"/>
            </w:pPr>
            <w:r/>
            <w:r>
              <w:rPr>
                <w:rFonts w:ascii="Aptos" w:hAnsi="Aptos"/>
                <w:b w:val="0"/>
                <w:sz w:val="15"/>
              </w:rPr>
              <w:t>Largest intent-driven ad ecosystem and automated bidding tools</w:t>
            </w:r>
          </w:p>
        </w:tc>
        <w:tc>
          <w:tcPr>
            <w:tcW w:type="dxa" w:w="3456"/>
            <w:vAlign w:val="center"/>
            <w:shd w:fill="EEF2F6"/>
          </w:tcPr>
          <w:p>
            <w:pPr>
              <w:jc w:val="right"/>
            </w:pPr>
            <w:r/>
            <w:r>
              <w:rPr>
                <w:rFonts w:ascii="Aptos" w:hAnsi="Aptos"/>
                <w:b w:val="0"/>
                <w:sz w:val="15"/>
              </w:rPr>
              <w:t>Regulatory remedies and changes to default distribution</w:t>
            </w:r>
          </w:p>
        </w:tc>
      </w:tr>
      <w:tr>
        <w:tc>
          <w:tcPr>
            <w:tcW w:type="dxa" w:w="3456"/>
            <w:vAlign w:val="center"/>
          </w:tcPr>
          <w:p>
            <w:pPr>
              <w:jc w:val="left"/>
            </w:pPr>
            <w:r/>
            <w:r>
              <w:rPr>
                <w:rFonts w:ascii="Aptos" w:hAnsi="Aptos"/>
                <w:b w:val="0"/>
                <w:sz w:val="15"/>
              </w:rPr>
              <w:t>Enterprise</w:t>
            </w:r>
          </w:p>
        </w:tc>
        <w:tc>
          <w:tcPr>
            <w:tcW w:type="dxa" w:w="3456"/>
            <w:vAlign w:val="center"/>
          </w:tcPr>
          <w:p>
            <w:pPr>
              <w:jc w:val="right"/>
            </w:pPr>
            <w:r/>
            <w:r>
              <w:rPr>
                <w:rFonts w:ascii="Aptos" w:hAnsi="Aptos"/>
                <w:b w:val="0"/>
                <w:sz w:val="15"/>
              </w:rPr>
              <w:t>Cloud, Workspace, cybersecurity, data and AI stack</w:t>
            </w:r>
          </w:p>
        </w:tc>
        <w:tc>
          <w:tcPr>
            <w:tcW w:type="dxa" w:w="3456"/>
            <w:vAlign w:val="center"/>
          </w:tcPr>
          <w:p>
            <w:pPr>
              <w:jc w:val="right"/>
            </w:pPr>
            <w:r/>
            <w:r>
              <w:rPr>
                <w:rFonts w:ascii="Aptos" w:hAnsi="Aptos"/>
                <w:b w:val="0"/>
                <w:sz w:val="15"/>
              </w:rPr>
              <w:t>AWS and Microsoft retain larger enterprise footprints</w:t>
            </w:r>
          </w:p>
        </w:tc>
      </w:tr>
      <w:tr>
        <w:tc>
          <w:tcPr>
            <w:tcW w:type="dxa" w:w="3456"/>
            <w:vAlign w:val="center"/>
            <w:shd w:fill="EEF2F6"/>
          </w:tcPr>
          <w:p>
            <w:pPr>
              <w:jc w:val="left"/>
            </w:pPr>
            <w:r/>
            <w:r>
              <w:rPr>
                <w:rFonts w:ascii="Aptos" w:hAnsi="Aptos"/>
                <w:b w:val="0"/>
                <w:sz w:val="15"/>
              </w:rPr>
              <w:t>Capital resources</w:t>
            </w:r>
          </w:p>
        </w:tc>
        <w:tc>
          <w:tcPr>
            <w:tcW w:type="dxa" w:w="3456"/>
            <w:vAlign w:val="center"/>
            <w:shd w:fill="EEF2F6"/>
          </w:tcPr>
          <w:p>
            <w:pPr>
              <w:jc w:val="right"/>
            </w:pPr>
            <w:r/>
            <w:r>
              <w:rPr>
                <w:rFonts w:ascii="Aptos" w:hAnsi="Aptos"/>
                <w:b w:val="0"/>
                <w:sz w:val="15"/>
              </w:rPr>
              <w:t>Large cash balance and operating cash flow</w:t>
            </w:r>
          </w:p>
        </w:tc>
        <w:tc>
          <w:tcPr>
            <w:tcW w:type="dxa" w:w="3456"/>
            <w:vAlign w:val="center"/>
            <w:shd w:fill="EEF2F6"/>
          </w:tcPr>
          <w:p>
            <w:pPr>
              <w:jc w:val="right"/>
            </w:pPr>
            <w:r/>
            <w:r>
              <w:rPr>
                <w:rFonts w:ascii="Aptos" w:hAnsi="Aptos"/>
                <w:b w:val="0"/>
                <w:sz w:val="15"/>
              </w:rPr>
              <w:t>Returns could lag the pace of investment</w:t>
            </w:r>
          </w:p>
        </w:tc>
      </w:tr>
    </w:tbl>
    <w:p>
      <w:pPr>
        <w:spacing w:after="0"/>
      </w:pPr>
    </w:p>
    <w:p>
      <w:pPr>
        <w:pStyle w:val="Heading2"/>
      </w:pPr>
      <w:r>
        <w:t>Why the market may be underestimating Alphabet</w:t>
      </w:r>
    </w:p>
    <w:p>
      <w:r>
        <w:t>The market's focus on 2026 capital expenditures is justified, but it can obscure the simultaneous acceleration in Search and Cloud. The BUY case does not require immediate free-cash-flow growth. It requires evidence that elevated infrastructure spending converts into durable revenue, Cloud margins, and new monetization surfaces over the following several years.</w:t>
      </w:r>
    </w:p>
    <w:p>
      <w:r>
        <w:br w:type="page"/>
      </w:r>
    </w:p>
    <w:p>
      <w:pPr>
        <w:pStyle w:val="Heading1"/>
      </w:pPr>
      <w:r>
        <w:t>3. Historical Financial Analysis</w:t>
      </w:r>
    </w:p>
    <w:p>
      <w:r>
        <w:drawing>
          <wp:inline xmlns:a="http://schemas.openxmlformats.org/drawingml/2006/main" xmlns:pic="http://schemas.openxmlformats.org/drawingml/2006/picture">
            <wp:extent cx="6583680" cy="3657600"/>
            <wp:docPr id="2" name="Picture 2"/>
            <wp:cNvGraphicFramePr>
              <a:graphicFrameLocks noChangeAspect="1"/>
            </wp:cNvGraphicFramePr>
            <a:graphic>
              <a:graphicData uri="http://schemas.openxmlformats.org/drawingml/2006/picture">
                <pic:pic>
                  <pic:nvPicPr>
                    <pic:cNvPr id="0" name="historical_financials.png"/>
                    <pic:cNvPicPr/>
                  </pic:nvPicPr>
                  <pic:blipFill>
                    <a:blip r:embed="rId12"/>
                    <a:stretch>
                      <a:fillRect/>
                    </a:stretch>
                  </pic:blipFill>
                  <pic:spPr>
                    <a:xfrm>
                      <a:off x="0" y="0"/>
                      <a:ext cx="6583680" cy="3657600"/>
                    </a:xfrm>
                    <a:prstGeom prst="rect"/>
                  </pic:spPr>
                </pic:pic>
              </a:graphicData>
            </a:graphic>
          </wp:inline>
        </w:drawing>
      </w:r>
    </w:p>
    <w:p>
      <w:pPr>
        <w:spacing w:before="40" w:after="80"/>
      </w:pPr>
      <w:r>
        <w:rPr>
          <w:i/>
          <w:color w:val="5A5A5A"/>
          <w:sz w:val="15"/>
        </w:rPr>
        <w:t>Source: Alphabet Forms 10-K. $ billions.</w:t>
      </w:r>
    </w:p>
    <w:tbl>
      <w:tblPr>
        <w:tblStyle w:val="TableGrid"/>
        <w:tblW w:type="auto" w:w="0"/>
        <w:jc w:val="center"/>
        <w:tblLook w:firstColumn="1" w:firstRow="1" w:lastColumn="0" w:lastRow="0" w:noHBand="0" w:noVBand="1" w:val="04A0"/>
      </w:tblPr>
      <w:tblGrid>
        <w:gridCol w:w="1481"/>
        <w:gridCol w:w="1481"/>
        <w:gridCol w:w="1481"/>
        <w:gridCol w:w="1481"/>
        <w:gridCol w:w="1481"/>
        <w:gridCol w:w="1481"/>
        <w:gridCol w:w="1481"/>
      </w:tblGrid>
      <w:tr>
        <w:tc>
          <w:tcPr>
            <w:tcW w:type="dxa" w:w="1481"/>
            <w:vAlign w:val="center"/>
            <w:shd w:fill="18304A"/>
          </w:tcPr>
          <w:p>
            <w:pPr>
              <w:jc w:val="center"/>
            </w:pPr>
            <w:r/>
            <w:r>
              <w:rPr>
                <w:rFonts w:ascii="Aptos" w:hAnsi="Aptos"/>
                <w:b/>
                <w:color w:val="FFFFFF"/>
                <w:sz w:val="16"/>
              </w:rPr>
              <w:t>Year</w:t>
            </w:r>
          </w:p>
        </w:tc>
        <w:tc>
          <w:tcPr>
            <w:tcW w:type="dxa" w:w="1481"/>
            <w:vAlign w:val="center"/>
            <w:shd w:fill="18304A"/>
          </w:tcPr>
          <w:p>
            <w:pPr>
              <w:jc w:val="center"/>
            </w:pPr>
            <w:r/>
            <w:r>
              <w:rPr>
                <w:rFonts w:ascii="Aptos" w:hAnsi="Aptos"/>
                <w:b/>
                <w:color w:val="FFFFFF"/>
                <w:sz w:val="16"/>
              </w:rPr>
              <w:t>Revenue</w:t>
            </w:r>
          </w:p>
        </w:tc>
        <w:tc>
          <w:tcPr>
            <w:tcW w:type="dxa" w:w="1481"/>
            <w:vAlign w:val="center"/>
            <w:shd w:fill="18304A"/>
          </w:tcPr>
          <w:p>
            <w:pPr>
              <w:jc w:val="center"/>
            </w:pPr>
            <w:r/>
            <w:r>
              <w:rPr>
                <w:rFonts w:ascii="Aptos" w:hAnsi="Aptos"/>
                <w:b/>
                <w:color w:val="FFFFFF"/>
                <w:sz w:val="16"/>
              </w:rPr>
              <w:t>Op. Margin</w:t>
            </w:r>
          </w:p>
        </w:tc>
        <w:tc>
          <w:tcPr>
            <w:tcW w:type="dxa" w:w="1481"/>
            <w:vAlign w:val="center"/>
            <w:shd w:fill="18304A"/>
          </w:tcPr>
          <w:p>
            <w:pPr>
              <w:jc w:val="center"/>
            </w:pPr>
            <w:r/>
            <w:r>
              <w:rPr>
                <w:rFonts w:ascii="Aptos" w:hAnsi="Aptos"/>
                <w:b/>
                <w:color w:val="FFFFFF"/>
                <w:sz w:val="16"/>
              </w:rPr>
              <w:t>Net Income</w:t>
            </w:r>
          </w:p>
        </w:tc>
        <w:tc>
          <w:tcPr>
            <w:tcW w:type="dxa" w:w="1481"/>
            <w:vAlign w:val="center"/>
            <w:shd w:fill="18304A"/>
          </w:tcPr>
          <w:p>
            <w:pPr>
              <w:jc w:val="center"/>
            </w:pPr>
            <w:r/>
            <w:r>
              <w:rPr>
                <w:rFonts w:ascii="Aptos" w:hAnsi="Aptos"/>
                <w:b/>
                <w:color w:val="FFFFFF"/>
                <w:sz w:val="16"/>
              </w:rPr>
              <w:t>Operating CF</w:t>
            </w:r>
          </w:p>
        </w:tc>
        <w:tc>
          <w:tcPr>
            <w:tcW w:type="dxa" w:w="1481"/>
            <w:vAlign w:val="center"/>
            <w:shd w:fill="18304A"/>
          </w:tcPr>
          <w:p>
            <w:pPr>
              <w:jc w:val="center"/>
            </w:pPr>
            <w:r/>
            <w:r>
              <w:rPr>
                <w:rFonts w:ascii="Aptos" w:hAnsi="Aptos"/>
                <w:b/>
                <w:color w:val="FFFFFF"/>
                <w:sz w:val="16"/>
              </w:rPr>
              <w:t>Capex</w:t>
            </w:r>
          </w:p>
        </w:tc>
        <w:tc>
          <w:tcPr>
            <w:tcW w:type="dxa" w:w="1481"/>
            <w:vAlign w:val="center"/>
            <w:shd w:fill="18304A"/>
          </w:tcPr>
          <w:p>
            <w:pPr>
              <w:jc w:val="center"/>
            </w:pPr>
            <w:r/>
            <w:r>
              <w:rPr>
                <w:rFonts w:ascii="Aptos" w:hAnsi="Aptos"/>
                <w:b/>
                <w:color w:val="FFFFFF"/>
                <w:sz w:val="16"/>
              </w:rPr>
              <w:t>FCF</w:t>
            </w:r>
          </w:p>
        </w:tc>
      </w:tr>
      <w:tr>
        <w:tc>
          <w:tcPr>
            <w:tcW w:type="dxa" w:w="1481"/>
            <w:vAlign w:val="center"/>
          </w:tcPr>
          <w:p>
            <w:pPr>
              <w:jc w:val="left"/>
            </w:pPr>
            <w:r/>
            <w:r>
              <w:rPr>
                <w:rFonts w:ascii="Aptos" w:hAnsi="Aptos"/>
                <w:b w:val="0"/>
                <w:sz w:val="16"/>
              </w:rPr>
              <w:t>2023</w:t>
            </w:r>
          </w:p>
        </w:tc>
        <w:tc>
          <w:tcPr>
            <w:tcW w:type="dxa" w:w="1481"/>
            <w:vAlign w:val="center"/>
          </w:tcPr>
          <w:p>
            <w:pPr>
              <w:jc w:val="right"/>
            </w:pPr>
            <w:r/>
            <w:r>
              <w:rPr>
                <w:rFonts w:ascii="Aptos" w:hAnsi="Aptos"/>
                <w:b w:val="0"/>
                <w:sz w:val="16"/>
              </w:rPr>
              <w:t>$307.4</w:t>
            </w:r>
          </w:p>
        </w:tc>
        <w:tc>
          <w:tcPr>
            <w:tcW w:type="dxa" w:w="1481"/>
            <w:vAlign w:val="center"/>
          </w:tcPr>
          <w:p>
            <w:pPr>
              <w:jc w:val="right"/>
            </w:pPr>
            <w:r/>
            <w:r>
              <w:rPr>
                <w:rFonts w:ascii="Aptos" w:hAnsi="Aptos"/>
                <w:b w:val="0"/>
                <w:sz w:val="16"/>
              </w:rPr>
              <w:t>27.4%</w:t>
            </w:r>
          </w:p>
        </w:tc>
        <w:tc>
          <w:tcPr>
            <w:tcW w:type="dxa" w:w="1481"/>
            <w:vAlign w:val="center"/>
          </w:tcPr>
          <w:p>
            <w:pPr>
              <w:jc w:val="right"/>
            </w:pPr>
            <w:r/>
            <w:r>
              <w:rPr>
                <w:rFonts w:ascii="Aptos" w:hAnsi="Aptos"/>
                <w:b w:val="0"/>
                <w:sz w:val="16"/>
              </w:rPr>
              <w:t>$73.8</w:t>
            </w:r>
          </w:p>
        </w:tc>
        <w:tc>
          <w:tcPr>
            <w:tcW w:type="dxa" w:w="1481"/>
            <w:vAlign w:val="center"/>
          </w:tcPr>
          <w:p>
            <w:pPr>
              <w:jc w:val="right"/>
            </w:pPr>
            <w:r/>
            <w:r>
              <w:rPr>
                <w:rFonts w:ascii="Aptos" w:hAnsi="Aptos"/>
                <w:b w:val="0"/>
                <w:sz w:val="16"/>
              </w:rPr>
              <w:t>$101.7</w:t>
            </w:r>
          </w:p>
        </w:tc>
        <w:tc>
          <w:tcPr>
            <w:tcW w:type="dxa" w:w="1481"/>
            <w:vAlign w:val="center"/>
          </w:tcPr>
          <w:p>
            <w:pPr>
              <w:jc w:val="right"/>
            </w:pPr>
            <w:r/>
            <w:r>
              <w:rPr>
                <w:rFonts w:ascii="Aptos" w:hAnsi="Aptos"/>
                <w:b w:val="0"/>
                <w:sz w:val="16"/>
              </w:rPr>
              <w:t>$32.3</w:t>
            </w:r>
          </w:p>
        </w:tc>
        <w:tc>
          <w:tcPr>
            <w:tcW w:type="dxa" w:w="1481"/>
            <w:vAlign w:val="center"/>
          </w:tcPr>
          <w:p>
            <w:pPr>
              <w:jc w:val="right"/>
            </w:pPr>
            <w:r/>
            <w:r>
              <w:rPr>
                <w:rFonts w:ascii="Aptos" w:hAnsi="Aptos"/>
                <w:b w:val="0"/>
                <w:sz w:val="16"/>
              </w:rPr>
              <w:t>$69.5</w:t>
            </w:r>
          </w:p>
        </w:tc>
      </w:tr>
      <w:tr>
        <w:tc>
          <w:tcPr>
            <w:tcW w:type="dxa" w:w="1481"/>
            <w:vAlign w:val="center"/>
            <w:shd w:fill="EEF2F6"/>
          </w:tcPr>
          <w:p>
            <w:pPr>
              <w:jc w:val="left"/>
            </w:pPr>
            <w:r/>
            <w:r>
              <w:rPr>
                <w:rFonts w:ascii="Aptos" w:hAnsi="Aptos"/>
                <w:b w:val="0"/>
                <w:sz w:val="16"/>
              </w:rPr>
              <w:t>2024</w:t>
            </w:r>
          </w:p>
        </w:tc>
        <w:tc>
          <w:tcPr>
            <w:tcW w:type="dxa" w:w="1481"/>
            <w:vAlign w:val="center"/>
            <w:shd w:fill="EEF2F6"/>
          </w:tcPr>
          <w:p>
            <w:pPr>
              <w:jc w:val="right"/>
            </w:pPr>
            <w:r/>
            <w:r>
              <w:rPr>
                <w:rFonts w:ascii="Aptos" w:hAnsi="Aptos"/>
                <w:b w:val="0"/>
                <w:sz w:val="16"/>
              </w:rPr>
              <w:t>$350.0</w:t>
            </w:r>
          </w:p>
        </w:tc>
        <w:tc>
          <w:tcPr>
            <w:tcW w:type="dxa" w:w="1481"/>
            <w:vAlign w:val="center"/>
            <w:shd w:fill="EEF2F6"/>
          </w:tcPr>
          <w:p>
            <w:pPr>
              <w:jc w:val="right"/>
            </w:pPr>
            <w:r/>
            <w:r>
              <w:rPr>
                <w:rFonts w:ascii="Aptos" w:hAnsi="Aptos"/>
                <w:b w:val="0"/>
                <w:sz w:val="16"/>
              </w:rPr>
              <w:t>32.1%</w:t>
            </w:r>
          </w:p>
        </w:tc>
        <w:tc>
          <w:tcPr>
            <w:tcW w:type="dxa" w:w="1481"/>
            <w:vAlign w:val="center"/>
            <w:shd w:fill="EEF2F6"/>
          </w:tcPr>
          <w:p>
            <w:pPr>
              <w:jc w:val="right"/>
            </w:pPr>
            <w:r/>
            <w:r>
              <w:rPr>
                <w:rFonts w:ascii="Aptos" w:hAnsi="Aptos"/>
                <w:b w:val="0"/>
                <w:sz w:val="16"/>
              </w:rPr>
              <w:t>$100.1</w:t>
            </w:r>
          </w:p>
        </w:tc>
        <w:tc>
          <w:tcPr>
            <w:tcW w:type="dxa" w:w="1481"/>
            <w:vAlign w:val="center"/>
            <w:shd w:fill="EEF2F6"/>
          </w:tcPr>
          <w:p>
            <w:pPr>
              <w:jc w:val="right"/>
            </w:pPr>
            <w:r/>
            <w:r>
              <w:rPr>
                <w:rFonts w:ascii="Aptos" w:hAnsi="Aptos"/>
                <w:b w:val="0"/>
                <w:sz w:val="16"/>
              </w:rPr>
              <w:t>$125.3</w:t>
            </w:r>
          </w:p>
        </w:tc>
        <w:tc>
          <w:tcPr>
            <w:tcW w:type="dxa" w:w="1481"/>
            <w:vAlign w:val="center"/>
            <w:shd w:fill="EEF2F6"/>
          </w:tcPr>
          <w:p>
            <w:pPr>
              <w:jc w:val="right"/>
            </w:pPr>
            <w:r/>
            <w:r>
              <w:rPr>
                <w:rFonts w:ascii="Aptos" w:hAnsi="Aptos"/>
                <w:b w:val="0"/>
                <w:sz w:val="16"/>
              </w:rPr>
              <w:t>$52.5</w:t>
            </w:r>
          </w:p>
        </w:tc>
        <w:tc>
          <w:tcPr>
            <w:tcW w:type="dxa" w:w="1481"/>
            <w:vAlign w:val="center"/>
            <w:shd w:fill="EEF2F6"/>
          </w:tcPr>
          <w:p>
            <w:pPr>
              <w:jc w:val="right"/>
            </w:pPr>
            <w:r/>
            <w:r>
              <w:rPr>
                <w:rFonts w:ascii="Aptos" w:hAnsi="Aptos"/>
                <w:b w:val="0"/>
                <w:sz w:val="16"/>
              </w:rPr>
              <w:t>$72.8</w:t>
            </w:r>
          </w:p>
        </w:tc>
      </w:tr>
      <w:tr>
        <w:tc>
          <w:tcPr>
            <w:tcW w:type="dxa" w:w="1481"/>
            <w:vAlign w:val="center"/>
          </w:tcPr>
          <w:p>
            <w:pPr>
              <w:jc w:val="left"/>
            </w:pPr>
            <w:r/>
            <w:r>
              <w:rPr>
                <w:rFonts w:ascii="Aptos" w:hAnsi="Aptos"/>
                <w:b w:val="0"/>
                <w:sz w:val="16"/>
              </w:rPr>
              <w:t>2025</w:t>
            </w:r>
          </w:p>
        </w:tc>
        <w:tc>
          <w:tcPr>
            <w:tcW w:type="dxa" w:w="1481"/>
            <w:vAlign w:val="center"/>
          </w:tcPr>
          <w:p>
            <w:pPr>
              <w:jc w:val="right"/>
            </w:pPr>
            <w:r/>
            <w:r>
              <w:rPr>
                <w:rFonts w:ascii="Aptos" w:hAnsi="Aptos"/>
                <w:b w:val="0"/>
                <w:sz w:val="16"/>
              </w:rPr>
              <w:t>$402.8</w:t>
            </w:r>
          </w:p>
        </w:tc>
        <w:tc>
          <w:tcPr>
            <w:tcW w:type="dxa" w:w="1481"/>
            <w:vAlign w:val="center"/>
          </w:tcPr>
          <w:p>
            <w:pPr>
              <w:jc w:val="right"/>
            </w:pPr>
            <w:r/>
            <w:r>
              <w:rPr>
                <w:rFonts w:ascii="Aptos" w:hAnsi="Aptos"/>
                <w:b w:val="0"/>
                <w:sz w:val="16"/>
              </w:rPr>
              <w:t>32.0%</w:t>
            </w:r>
          </w:p>
        </w:tc>
        <w:tc>
          <w:tcPr>
            <w:tcW w:type="dxa" w:w="1481"/>
            <w:vAlign w:val="center"/>
          </w:tcPr>
          <w:p>
            <w:pPr>
              <w:jc w:val="right"/>
            </w:pPr>
            <w:r/>
            <w:r>
              <w:rPr>
                <w:rFonts w:ascii="Aptos" w:hAnsi="Aptos"/>
                <w:b w:val="0"/>
                <w:sz w:val="16"/>
              </w:rPr>
              <w:t>$132.2</w:t>
            </w:r>
          </w:p>
        </w:tc>
        <w:tc>
          <w:tcPr>
            <w:tcW w:type="dxa" w:w="1481"/>
            <w:vAlign w:val="center"/>
          </w:tcPr>
          <w:p>
            <w:pPr>
              <w:jc w:val="right"/>
            </w:pPr>
            <w:r/>
            <w:r>
              <w:rPr>
                <w:rFonts w:ascii="Aptos" w:hAnsi="Aptos"/>
                <w:b w:val="0"/>
                <w:sz w:val="16"/>
              </w:rPr>
              <w:t>$164.7</w:t>
            </w:r>
          </w:p>
        </w:tc>
        <w:tc>
          <w:tcPr>
            <w:tcW w:type="dxa" w:w="1481"/>
            <w:vAlign w:val="center"/>
          </w:tcPr>
          <w:p>
            <w:pPr>
              <w:jc w:val="right"/>
            </w:pPr>
            <w:r/>
            <w:r>
              <w:rPr>
                <w:rFonts w:ascii="Aptos" w:hAnsi="Aptos"/>
                <w:b w:val="0"/>
                <w:sz w:val="16"/>
              </w:rPr>
              <w:t>$91.4</w:t>
            </w:r>
          </w:p>
        </w:tc>
        <w:tc>
          <w:tcPr>
            <w:tcW w:type="dxa" w:w="1481"/>
            <w:vAlign w:val="center"/>
          </w:tcPr>
          <w:p>
            <w:pPr>
              <w:jc w:val="right"/>
            </w:pPr>
            <w:r/>
            <w:r>
              <w:rPr>
                <w:rFonts w:ascii="Aptos" w:hAnsi="Aptos"/>
                <w:b w:val="0"/>
                <w:sz w:val="16"/>
              </w:rPr>
              <w:t>$73.3</w:t>
            </w:r>
          </w:p>
        </w:tc>
      </w:tr>
    </w:tbl>
    <w:p>
      <w:pPr>
        <w:spacing w:after="0"/>
      </w:pPr>
    </w:p>
    <w:p>
      <w:pPr>
        <w:pStyle w:val="Heading2"/>
      </w:pPr>
      <w:r>
        <w:t>Key historical observations</w:t>
      </w:r>
    </w:p>
    <w:p>
      <w:pPr>
        <w:pStyle w:val="ListBullet"/>
      </w:pPr>
      <w:r>
        <w:t>Revenue increased 15% in 2025 to $402.8 billion, with Google Services up 12% and Google Cloud up 36%.</w:t>
      </w:r>
    </w:p>
    <w:p>
      <w:pPr>
        <w:pStyle w:val="ListBullet"/>
      </w:pPr>
      <w:r>
        <w:t>Operating income increased 15% to $129.0 billion. Reported operating margin remained approximately 32% despite higher AI research, infrastructure depreciation, and legal costs.</w:t>
      </w:r>
    </w:p>
    <w:p>
      <w:pPr>
        <w:pStyle w:val="ListBullet"/>
      </w:pPr>
      <w:r>
        <w:t>Reported net income increased 32% to $132.2 billion, but $24.1 billion of equity-security gains made reported earnings less representative of recurring operating performance.</w:t>
      </w:r>
    </w:p>
    <w:p>
      <w:pPr>
        <w:pStyle w:val="ListBullet"/>
      </w:pPr>
      <w:r>
        <w:t>Operating cash flow increased to $164.7 billion. Free cash flow remained near $73.3 billion because capital expenditures rose to $91.4 billion.</w:t>
      </w:r>
    </w:p>
    <w:p>
      <w:pPr>
        <w:pStyle w:val="ListBullet"/>
      </w:pPr>
      <w:r>
        <w:t>Cloud operating income more than doubled to $13.9 billion, implying a 23.7% segment operating margin versus 14.1% in 2024.</w:t>
      </w:r>
    </w:p>
    <w:p>
      <w:r>
        <w:br w:type="page"/>
      </w:r>
    </w:p>
    <w:p>
      <w:pPr>
        <w:pStyle w:val="Heading1"/>
      </w:pPr>
      <w:r>
        <w:t>4. Segment Analysis</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18304A"/>
          </w:tcPr>
          <w:p>
            <w:pPr>
              <w:jc w:val="center"/>
            </w:pPr>
            <w:r/>
            <w:r>
              <w:rPr>
                <w:rFonts w:ascii="Aptos" w:hAnsi="Aptos"/>
                <w:b/>
                <w:color w:val="FFFFFF"/>
                <w:sz w:val="16"/>
              </w:rPr>
              <w:t>Segment / Revenue Type</w:t>
            </w:r>
          </w:p>
        </w:tc>
        <w:tc>
          <w:tcPr>
            <w:tcW w:type="dxa" w:w="2592"/>
            <w:vAlign w:val="center"/>
            <w:shd w:fill="18304A"/>
          </w:tcPr>
          <w:p>
            <w:pPr>
              <w:jc w:val="center"/>
            </w:pPr>
            <w:r/>
            <w:r>
              <w:rPr>
                <w:rFonts w:ascii="Aptos" w:hAnsi="Aptos"/>
                <w:b/>
                <w:color w:val="FFFFFF"/>
                <w:sz w:val="16"/>
              </w:rPr>
              <w:t>2024</w:t>
            </w:r>
          </w:p>
        </w:tc>
        <w:tc>
          <w:tcPr>
            <w:tcW w:type="dxa" w:w="2592"/>
            <w:vAlign w:val="center"/>
            <w:shd w:fill="18304A"/>
          </w:tcPr>
          <w:p>
            <w:pPr>
              <w:jc w:val="center"/>
            </w:pPr>
            <w:r/>
            <w:r>
              <w:rPr>
                <w:rFonts w:ascii="Aptos" w:hAnsi="Aptos"/>
                <w:b/>
                <w:color w:val="FFFFFF"/>
                <w:sz w:val="16"/>
              </w:rPr>
              <w:t>2025</w:t>
            </w:r>
          </w:p>
        </w:tc>
        <w:tc>
          <w:tcPr>
            <w:tcW w:type="dxa" w:w="2592"/>
            <w:vAlign w:val="center"/>
            <w:shd w:fill="18304A"/>
          </w:tcPr>
          <w:p>
            <w:pPr>
              <w:jc w:val="center"/>
            </w:pPr>
            <w:r/>
            <w:r>
              <w:rPr>
                <w:rFonts w:ascii="Aptos" w:hAnsi="Aptos"/>
                <w:b/>
                <w:color w:val="FFFFFF"/>
                <w:sz w:val="16"/>
              </w:rPr>
              <w:t>Growth</w:t>
            </w:r>
          </w:p>
        </w:tc>
      </w:tr>
      <w:tr>
        <w:tc>
          <w:tcPr>
            <w:tcW w:type="dxa" w:w="2592"/>
            <w:vAlign w:val="center"/>
          </w:tcPr>
          <w:p>
            <w:pPr>
              <w:jc w:val="left"/>
            </w:pPr>
            <w:r/>
            <w:r>
              <w:rPr>
                <w:rFonts w:ascii="Aptos" w:hAnsi="Aptos"/>
                <w:b w:val="0"/>
                <w:sz w:val="16"/>
              </w:rPr>
              <w:t>Google Search &amp; other</w:t>
            </w:r>
          </w:p>
        </w:tc>
        <w:tc>
          <w:tcPr>
            <w:tcW w:type="dxa" w:w="2592"/>
            <w:vAlign w:val="center"/>
          </w:tcPr>
          <w:p>
            <w:pPr>
              <w:jc w:val="right"/>
            </w:pPr>
            <w:r/>
            <w:r>
              <w:rPr>
                <w:rFonts w:ascii="Aptos" w:hAnsi="Aptos"/>
                <w:b w:val="0"/>
                <w:sz w:val="16"/>
              </w:rPr>
              <w:t>$198.1B</w:t>
            </w:r>
          </w:p>
        </w:tc>
        <w:tc>
          <w:tcPr>
            <w:tcW w:type="dxa" w:w="2592"/>
            <w:vAlign w:val="center"/>
          </w:tcPr>
          <w:p>
            <w:pPr>
              <w:jc w:val="right"/>
            </w:pPr>
            <w:r/>
            <w:r>
              <w:rPr>
                <w:rFonts w:ascii="Aptos" w:hAnsi="Aptos"/>
                <w:b w:val="0"/>
                <w:sz w:val="16"/>
              </w:rPr>
              <w:t>$224.5B</w:t>
            </w:r>
          </w:p>
        </w:tc>
        <w:tc>
          <w:tcPr>
            <w:tcW w:type="dxa" w:w="2592"/>
            <w:vAlign w:val="center"/>
          </w:tcPr>
          <w:p>
            <w:pPr>
              <w:jc w:val="right"/>
            </w:pPr>
            <w:r/>
            <w:r>
              <w:rPr>
                <w:rFonts w:ascii="Aptos" w:hAnsi="Aptos"/>
                <w:b w:val="0"/>
                <w:sz w:val="16"/>
              </w:rPr>
              <w:t>13.4%</w:t>
            </w:r>
          </w:p>
        </w:tc>
      </w:tr>
      <w:tr>
        <w:tc>
          <w:tcPr>
            <w:tcW w:type="dxa" w:w="2592"/>
            <w:vAlign w:val="center"/>
            <w:shd w:fill="EEF2F6"/>
          </w:tcPr>
          <w:p>
            <w:pPr>
              <w:jc w:val="left"/>
            </w:pPr>
            <w:r/>
            <w:r>
              <w:rPr>
                <w:rFonts w:ascii="Aptos" w:hAnsi="Aptos"/>
                <w:b w:val="0"/>
                <w:sz w:val="16"/>
              </w:rPr>
              <w:t>YouTube ads</w:t>
            </w:r>
          </w:p>
        </w:tc>
        <w:tc>
          <w:tcPr>
            <w:tcW w:type="dxa" w:w="2592"/>
            <w:vAlign w:val="center"/>
            <w:shd w:fill="EEF2F6"/>
          </w:tcPr>
          <w:p>
            <w:pPr>
              <w:jc w:val="right"/>
            </w:pPr>
            <w:r/>
            <w:r>
              <w:rPr>
                <w:rFonts w:ascii="Aptos" w:hAnsi="Aptos"/>
                <w:b w:val="0"/>
                <w:sz w:val="16"/>
              </w:rPr>
              <w:t>$36.1B</w:t>
            </w:r>
          </w:p>
        </w:tc>
        <w:tc>
          <w:tcPr>
            <w:tcW w:type="dxa" w:w="2592"/>
            <w:vAlign w:val="center"/>
            <w:shd w:fill="EEF2F6"/>
          </w:tcPr>
          <w:p>
            <w:pPr>
              <w:jc w:val="right"/>
            </w:pPr>
            <w:r/>
            <w:r>
              <w:rPr>
                <w:rFonts w:ascii="Aptos" w:hAnsi="Aptos"/>
                <w:b w:val="0"/>
                <w:sz w:val="16"/>
              </w:rPr>
              <w:t>$40.4B</w:t>
            </w:r>
          </w:p>
        </w:tc>
        <w:tc>
          <w:tcPr>
            <w:tcW w:type="dxa" w:w="2592"/>
            <w:vAlign w:val="center"/>
            <w:shd w:fill="EEF2F6"/>
          </w:tcPr>
          <w:p>
            <w:pPr>
              <w:jc w:val="right"/>
            </w:pPr>
            <w:r/>
            <w:r>
              <w:rPr>
                <w:rFonts w:ascii="Aptos" w:hAnsi="Aptos"/>
                <w:b w:val="0"/>
                <w:sz w:val="16"/>
              </w:rPr>
              <w:t>11.7%</w:t>
            </w:r>
          </w:p>
        </w:tc>
      </w:tr>
      <w:tr>
        <w:tc>
          <w:tcPr>
            <w:tcW w:type="dxa" w:w="2592"/>
            <w:vAlign w:val="center"/>
          </w:tcPr>
          <w:p>
            <w:pPr>
              <w:jc w:val="left"/>
            </w:pPr>
            <w:r/>
            <w:r>
              <w:rPr>
                <w:rFonts w:ascii="Aptos" w:hAnsi="Aptos"/>
                <w:b w:val="0"/>
                <w:sz w:val="16"/>
              </w:rPr>
              <w:t>Google Network</w:t>
            </w:r>
          </w:p>
        </w:tc>
        <w:tc>
          <w:tcPr>
            <w:tcW w:type="dxa" w:w="2592"/>
            <w:vAlign w:val="center"/>
          </w:tcPr>
          <w:p>
            <w:pPr>
              <w:jc w:val="right"/>
            </w:pPr>
            <w:r/>
            <w:r>
              <w:rPr>
                <w:rFonts w:ascii="Aptos" w:hAnsi="Aptos"/>
                <w:b w:val="0"/>
                <w:sz w:val="16"/>
              </w:rPr>
              <w:t>$30.4B</w:t>
            </w:r>
          </w:p>
        </w:tc>
        <w:tc>
          <w:tcPr>
            <w:tcW w:type="dxa" w:w="2592"/>
            <w:vAlign w:val="center"/>
          </w:tcPr>
          <w:p>
            <w:pPr>
              <w:jc w:val="right"/>
            </w:pPr>
            <w:r/>
            <w:r>
              <w:rPr>
                <w:rFonts w:ascii="Aptos" w:hAnsi="Aptos"/>
                <w:b w:val="0"/>
                <w:sz w:val="16"/>
              </w:rPr>
              <w:t>$29.8B</w:t>
            </w:r>
          </w:p>
        </w:tc>
        <w:tc>
          <w:tcPr>
            <w:tcW w:type="dxa" w:w="2592"/>
            <w:vAlign w:val="center"/>
          </w:tcPr>
          <w:p>
            <w:pPr>
              <w:jc w:val="right"/>
            </w:pPr>
            <w:r/>
            <w:r>
              <w:rPr>
                <w:rFonts w:ascii="Aptos" w:hAnsi="Aptos"/>
                <w:b w:val="0"/>
                <w:sz w:val="16"/>
              </w:rPr>
              <w:t>(1.9%)</w:t>
            </w:r>
          </w:p>
        </w:tc>
      </w:tr>
      <w:tr>
        <w:tc>
          <w:tcPr>
            <w:tcW w:type="dxa" w:w="2592"/>
            <w:vAlign w:val="center"/>
            <w:shd w:fill="EEF2F6"/>
          </w:tcPr>
          <w:p>
            <w:pPr>
              <w:jc w:val="left"/>
            </w:pPr>
            <w:r/>
            <w:r>
              <w:rPr>
                <w:rFonts w:ascii="Aptos" w:hAnsi="Aptos"/>
                <w:b w:val="0"/>
                <w:sz w:val="16"/>
              </w:rPr>
              <w:t>Subscriptions, platforms &amp; devices</w:t>
            </w:r>
          </w:p>
        </w:tc>
        <w:tc>
          <w:tcPr>
            <w:tcW w:type="dxa" w:w="2592"/>
            <w:vAlign w:val="center"/>
            <w:shd w:fill="EEF2F6"/>
          </w:tcPr>
          <w:p>
            <w:pPr>
              <w:jc w:val="right"/>
            </w:pPr>
            <w:r/>
            <w:r>
              <w:rPr>
                <w:rFonts w:ascii="Aptos" w:hAnsi="Aptos"/>
                <w:b w:val="0"/>
                <w:sz w:val="16"/>
              </w:rPr>
              <w:t>$40.3B</w:t>
            </w:r>
          </w:p>
        </w:tc>
        <w:tc>
          <w:tcPr>
            <w:tcW w:type="dxa" w:w="2592"/>
            <w:vAlign w:val="center"/>
            <w:shd w:fill="EEF2F6"/>
          </w:tcPr>
          <w:p>
            <w:pPr>
              <w:jc w:val="right"/>
            </w:pPr>
            <w:r/>
            <w:r>
              <w:rPr>
                <w:rFonts w:ascii="Aptos" w:hAnsi="Aptos"/>
                <w:b w:val="0"/>
                <w:sz w:val="16"/>
              </w:rPr>
              <w:t>$48.0B</w:t>
            </w:r>
          </w:p>
        </w:tc>
        <w:tc>
          <w:tcPr>
            <w:tcW w:type="dxa" w:w="2592"/>
            <w:vAlign w:val="center"/>
            <w:shd w:fill="EEF2F6"/>
          </w:tcPr>
          <w:p>
            <w:pPr>
              <w:jc w:val="right"/>
            </w:pPr>
            <w:r/>
            <w:r>
              <w:rPr>
                <w:rFonts w:ascii="Aptos" w:hAnsi="Aptos"/>
                <w:b w:val="0"/>
                <w:sz w:val="16"/>
              </w:rPr>
              <w:t>19.1%</w:t>
            </w:r>
          </w:p>
        </w:tc>
      </w:tr>
      <w:tr>
        <w:tc>
          <w:tcPr>
            <w:tcW w:type="dxa" w:w="2592"/>
            <w:vAlign w:val="center"/>
          </w:tcPr>
          <w:p>
            <w:pPr>
              <w:jc w:val="left"/>
            </w:pPr>
            <w:r/>
            <w:r>
              <w:rPr>
                <w:rFonts w:ascii="Aptos" w:hAnsi="Aptos"/>
                <w:b w:val="0"/>
                <w:sz w:val="16"/>
              </w:rPr>
              <w:t>Google Cloud</w:t>
            </w:r>
          </w:p>
        </w:tc>
        <w:tc>
          <w:tcPr>
            <w:tcW w:type="dxa" w:w="2592"/>
            <w:vAlign w:val="center"/>
          </w:tcPr>
          <w:p>
            <w:pPr>
              <w:jc w:val="right"/>
            </w:pPr>
            <w:r/>
            <w:r>
              <w:rPr>
                <w:rFonts w:ascii="Aptos" w:hAnsi="Aptos"/>
                <w:b w:val="0"/>
                <w:sz w:val="16"/>
              </w:rPr>
              <w:t>$43.2B</w:t>
            </w:r>
          </w:p>
        </w:tc>
        <w:tc>
          <w:tcPr>
            <w:tcW w:type="dxa" w:w="2592"/>
            <w:vAlign w:val="center"/>
          </w:tcPr>
          <w:p>
            <w:pPr>
              <w:jc w:val="right"/>
            </w:pPr>
            <w:r/>
            <w:r>
              <w:rPr>
                <w:rFonts w:ascii="Aptos" w:hAnsi="Aptos"/>
                <w:b w:val="0"/>
                <w:sz w:val="16"/>
              </w:rPr>
              <w:t>$58.7B</w:t>
            </w:r>
          </w:p>
        </w:tc>
        <w:tc>
          <w:tcPr>
            <w:tcW w:type="dxa" w:w="2592"/>
            <w:vAlign w:val="center"/>
          </w:tcPr>
          <w:p>
            <w:pPr>
              <w:jc w:val="right"/>
            </w:pPr>
            <w:r/>
            <w:r>
              <w:rPr>
                <w:rFonts w:ascii="Aptos" w:hAnsi="Aptos"/>
                <w:b w:val="0"/>
                <w:sz w:val="16"/>
              </w:rPr>
              <w:t>35.8%</w:t>
            </w:r>
          </w:p>
        </w:tc>
      </w:tr>
      <w:tr>
        <w:tc>
          <w:tcPr>
            <w:tcW w:type="dxa" w:w="2592"/>
            <w:vAlign w:val="center"/>
            <w:shd w:fill="EEF2F6"/>
          </w:tcPr>
          <w:p>
            <w:pPr>
              <w:jc w:val="left"/>
            </w:pPr>
            <w:r/>
            <w:r>
              <w:rPr>
                <w:rFonts w:ascii="Aptos" w:hAnsi="Aptos"/>
                <w:b w:val="0"/>
                <w:sz w:val="16"/>
              </w:rPr>
              <w:t>Other Bets</w:t>
            </w:r>
          </w:p>
        </w:tc>
        <w:tc>
          <w:tcPr>
            <w:tcW w:type="dxa" w:w="2592"/>
            <w:vAlign w:val="center"/>
            <w:shd w:fill="EEF2F6"/>
          </w:tcPr>
          <w:p>
            <w:pPr>
              <w:jc w:val="right"/>
            </w:pPr>
            <w:r/>
            <w:r>
              <w:rPr>
                <w:rFonts w:ascii="Aptos" w:hAnsi="Aptos"/>
                <w:b w:val="0"/>
                <w:sz w:val="16"/>
              </w:rPr>
              <w:t>$1.6B</w:t>
            </w:r>
          </w:p>
        </w:tc>
        <w:tc>
          <w:tcPr>
            <w:tcW w:type="dxa" w:w="2592"/>
            <w:vAlign w:val="center"/>
            <w:shd w:fill="EEF2F6"/>
          </w:tcPr>
          <w:p>
            <w:pPr>
              <w:jc w:val="right"/>
            </w:pPr>
            <w:r/>
            <w:r>
              <w:rPr>
                <w:rFonts w:ascii="Aptos" w:hAnsi="Aptos"/>
                <w:b w:val="0"/>
                <w:sz w:val="16"/>
              </w:rPr>
              <w:t>$1.5B</w:t>
            </w:r>
          </w:p>
        </w:tc>
        <w:tc>
          <w:tcPr>
            <w:tcW w:type="dxa" w:w="2592"/>
            <w:vAlign w:val="center"/>
            <w:shd w:fill="EEF2F6"/>
          </w:tcPr>
          <w:p>
            <w:pPr>
              <w:jc w:val="right"/>
            </w:pPr>
            <w:r/>
            <w:r>
              <w:rPr>
                <w:rFonts w:ascii="Aptos" w:hAnsi="Aptos"/>
                <w:b w:val="0"/>
                <w:sz w:val="16"/>
              </w:rPr>
              <w:t>(6.7%)</w:t>
            </w:r>
          </w:p>
        </w:tc>
      </w:tr>
    </w:tbl>
    <w:p>
      <w:pPr>
        <w:spacing w:after="0"/>
      </w:pPr>
    </w:p>
    <w:p>
      <w:pPr>
        <w:pStyle w:val="Heading2"/>
      </w:pPr>
      <w:r>
        <w:t>Google Services</w:t>
      </w:r>
    </w:p>
    <w:p>
      <w:r>
        <w:t>Google Services remains the profit center, generating $139.4 billion of 2025 operating income. Search benefited from 6% paid-click growth and 7% cost-per-click growth. YouTube advertising grew 12%, while subscriptions benefited from YouTube services and Google One. The Network business declined and is modeled as a low-growth or contracting asset.</w:t>
      </w:r>
    </w:p>
    <w:p>
      <w:pPr>
        <w:pStyle w:val="Heading2"/>
      </w:pPr>
      <w:r>
        <w:t>Google Cloud</w:t>
      </w:r>
    </w:p>
    <w:p>
      <w:r>
        <w:t>Cloud is the most important incremental valuation driver. Revenue reached $58.7 billion in 2025, operating income reached $13.9 billion, and fourth-quarter revenue grew 48%. The $240 billion backlog, larger customer commitments, and high AI product adoption provide visibility, although capacity constraints and infrastructure costs remain material.</w:t>
      </w:r>
    </w:p>
    <w:p>
      <w:pPr>
        <w:pStyle w:val="Heading2"/>
      </w:pPr>
      <w:r>
        <w:t>Other Bets</w:t>
      </w:r>
    </w:p>
    <w:p>
      <w:r>
        <w:t>Other Bets generated a $7.5 billion operating loss in 2025, including a valuation-based compensation charge related to Waymo. The valuation gives limited explicit credit to Other Bets; this is conservative because Waymo and other businesses may possess meaningful standalone option value.</w:t>
      </w:r>
    </w:p>
    <w:p>
      <w:r>
        <w:br w:type="page"/>
      </w:r>
    </w:p>
    <w:p>
      <w:pPr>
        <w:pStyle w:val="Heading1"/>
      </w:pPr>
      <w:r>
        <w:t>5. AI Strategy and Monetization</w:t>
      </w:r>
    </w:p>
    <w:p>
      <w:r>
        <w:t>Alphabet's AI thesis is built around four layers: infrastructure, models, distribution, and monetization. The company owns custom TPUs, operates global data centers, develops Gemini models, and distributes AI through Search, YouTube, Workspace, Cloud, Android, Chrome, and the Gemini app.</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18304A"/>
          </w:tcPr>
          <w:p>
            <w:pPr>
              <w:jc w:val="center"/>
            </w:pPr>
            <w:r/>
            <w:r>
              <w:rPr>
                <w:rFonts w:ascii="Aptos" w:hAnsi="Aptos"/>
                <w:b/>
                <w:color w:val="FFFFFF"/>
                <w:sz w:val="15"/>
              </w:rPr>
              <w:t>Indicator reported Feb. 4, 2026</w:t>
            </w:r>
          </w:p>
        </w:tc>
        <w:tc>
          <w:tcPr>
            <w:tcW w:type="dxa" w:w="3456"/>
            <w:vAlign w:val="center"/>
            <w:shd w:fill="18304A"/>
          </w:tcPr>
          <w:p>
            <w:pPr>
              <w:jc w:val="center"/>
            </w:pPr>
            <w:r/>
            <w:r>
              <w:rPr>
                <w:rFonts w:ascii="Aptos" w:hAnsi="Aptos"/>
                <w:b/>
                <w:color w:val="FFFFFF"/>
                <w:sz w:val="15"/>
              </w:rPr>
              <w:t>Reported Level</w:t>
            </w:r>
          </w:p>
        </w:tc>
        <w:tc>
          <w:tcPr>
            <w:tcW w:type="dxa" w:w="3456"/>
            <w:vAlign w:val="center"/>
            <w:shd w:fill="18304A"/>
          </w:tcPr>
          <w:p>
            <w:pPr>
              <w:jc w:val="center"/>
            </w:pPr>
            <w:r/>
            <w:r>
              <w:rPr>
                <w:rFonts w:ascii="Aptos" w:hAnsi="Aptos"/>
                <w:b/>
                <w:color w:val="FFFFFF"/>
                <w:sz w:val="15"/>
              </w:rPr>
              <w:t>Investment Significance</w:t>
            </w:r>
          </w:p>
        </w:tc>
      </w:tr>
      <w:tr>
        <w:tc>
          <w:tcPr>
            <w:tcW w:type="dxa" w:w="3456"/>
            <w:vAlign w:val="center"/>
          </w:tcPr>
          <w:p>
            <w:pPr>
              <w:jc w:val="left"/>
            </w:pPr>
            <w:r/>
            <w:r>
              <w:rPr>
                <w:rFonts w:ascii="Aptos" w:hAnsi="Aptos"/>
                <w:b w:val="0"/>
                <w:sz w:val="15"/>
              </w:rPr>
              <w:t>Gemini app monthly active users</w:t>
            </w:r>
          </w:p>
        </w:tc>
        <w:tc>
          <w:tcPr>
            <w:tcW w:type="dxa" w:w="3456"/>
            <w:vAlign w:val="center"/>
          </w:tcPr>
          <w:p>
            <w:pPr>
              <w:jc w:val="right"/>
            </w:pPr>
            <w:r/>
            <w:r>
              <w:rPr>
                <w:rFonts w:ascii="Aptos" w:hAnsi="Aptos"/>
                <w:b w:val="0"/>
                <w:sz w:val="15"/>
              </w:rPr>
              <w:t>750M+</w:t>
            </w:r>
          </w:p>
        </w:tc>
        <w:tc>
          <w:tcPr>
            <w:tcW w:type="dxa" w:w="3456"/>
            <w:vAlign w:val="center"/>
          </w:tcPr>
          <w:p>
            <w:pPr>
              <w:jc w:val="right"/>
            </w:pPr>
            <w:r/>
            <w:r>
              <w:rPr>
                <w:rFonts w:ascii="Aptos" w:hAnsi="Aptos"/>
                <w:b w:val="0"/>
                <w:sz w:val="15"/>
              </w:rPr>
              <w:t>Scaled direct consumer distribution</w:t>
            </w:r>
          </w:p>
        </w:tc>
      </w:tr>
      <w:tr>
        <w:tc>
          <w:tcPr>
            <w:tcW w:type="dxa" w:w="3456"/>
            <w:vAlign w:val="center"/>
            <w:shd w:fill="EEF2F6"/>
          </w:tcPr>
          <w:p>
            <w:pPr>
              <w:jc w:val="left"/>
            </w:pPr>
            <w:r/>
            <w:r>
              <w:rPr>
                <w:rFonts w:ascii="Aptos" w:hAnsi="Aptos"/>
                <w:b w:val="0"/>
                <w:sz w:val="15"/>
              </w:rPr>
              <w:t>Consumer paid subscriptions</w:t>
            </w:r>
          </w:p>
        </w:tc>
        <w:tc>
          <w:tcPr>
            <w:tcW w:type="dxa" w:w="3456"/>
            <w:vAlign w:val="center"/>
            <w:shd w:fill="EEF2F6"/>
          </w:tcPr>
          <w:p>
            <w:pPr>
              <w:jc w:val="right"/>
            </w:pPr>
            <w:r/>
            <w:r>
              <w:rPr>
                <w:rFonts w:ascii="Aptos" w:hAnsi="Aptos"/>
                <w:b w:val="0"/>
                <w:sz w:val="15"/>
              </w:rPr>
              <w:t>325M+</w:t>
            </w:r>
          </w:p>
        </w:tc>
        <w:tc>
          <w:tcPr>
            <w:tcW w:type="dxa" w:w="3456"/>
            <w:vAlign w:val="center"/>
            <w:shd w:fill="EEF2F6"/>
          </w:tcPr>
          <w:p>
            <w:pPr>
              <w:jc w:val="right"/>
            </w:pPr>
            <w:r/>
            <w:r>
              <w:rPr>
                <w:rFonts w:ascii="Aptos" w:hAnsi="Aptos"/>
                <w:b w:val="0"/>
                <w:sz w:val="15"/>
              </w:rPr>
              <w:t>Existing subscription monetization base</w:t>
            </w:r>
          </w:p>
        </w:tc>
      </w:tr>
      <w:tr>
        <w:tc>
          <w:tcPr>
            <w:tcW w:type="dxa" w:w="3456"/>
            <w:vAlign w:val="center"/>
          </w:tcPr>
          <w:p>
            <w:pPr>
              <w:jc w:val="left"/>
            </w:pPr>
            <w:r/>
            <w:r>
              <w:rPr>
                <w:rFonts w:ascii="Aptos" w:hAnsi="Aptos"/>
                <w:b w:val="0"/>
                <w:sz w:val="15"/>
              </w:rPr>
              <w:t>Gemini Enterprise paid seats</w:t>
            </w:r>
          </w:p>
        </w:tc>
        <w:tc>
          <w:tcPr>
            <w:tcW w:type="dxa" w:w="3456"/>
            <w:vAlign w:val="center"/>
          </w:tcPr>
          <w:p>
            <w:pPr>
              <w:jc w:val="right"/>
            </w:pPr>
            <w:r/>
            <w:r>
              <w:rPr>
                <w:rFonts w:ascii="Aptos" w:hAnsi="Aptos"/>
                <w:b w:val="0"/>
                <w:sz w:val="15"/>
              </w:rPr>
              <w:t>8M+</w:t>
            </w:r>
          </w:p>
        </w:tc>
        <w:tc>
          <w:tcPr>
            <w:tcW w:type="dxa" w:w="3456"/>
            <w:vAlign w:val="center"/>
          </w:tcPr>
          <w:p>
            <w:pPr>
              <w:jc w:val="right"/>
            </w:pPr>
            <w:r/>
            <w:r>
              <w:rPr>
                <w:rFonts w:ascii="Aptos" w:hAnsi="Aptos"/>
                <w:b w:val="0"/>
                <w:sz w:val="15"/>
              </w:rPr>
              <w:t>Early enterprise product-market fit</w:t>
            </w:r>
          </w:p>
        </w:tc>
      </w:tr>
      <w:tr>
        <w:tc>
          <w:tcPr>
            <w:tcW w:type="dxa" w:w="3456"/>
            <w:vAlign w:val="center"/>
            <w:shd w:fill="EEF2F6"/>
          </w:tcPr>
          <w:p>
            <w:pPr>
              <w:jc w:val="left"/>
            </w:pPr>
            <w:r/>
            <w:r>
              <w:rPr>
                <w:rFonts w:ascii="Aptos" w:hAnsi="Aptos"/>
                <w:b w:val="0"/>
                <w:sz w:val="15"/>
              </w:rPr>
              <w:t>Cloud backlog</w:t>
            </w:r>
          </w:p>
        </w:tc>
        <w:tc>
          <w:tcPr>
            <w:tcW w:type="dxa" w:w="3456"/>
            <w:vAlign w:val="center"/>
            <w:shd w:fill="EEF2F6"/>
          </w:tcPr>
          <w:p>
            <w:pPr>
              <w:jc w:val="right"/>
            </w:pPr>
            <w:r/>
            <w:r>
              <w:rPr>
                <w:rFonts w:ascii="Aptos" w:hAnsi="Aptos"/>
                <w:b w:val="0"/>
                <w:sz w:val="15"/>
              </w:rPr>
              <w:t>$240B</w:t>
            </w:r>
          </w:p>
        </w:tc>
        <w:tc>
          <w:tcPr>
            <w:tcW w:type="dxa" w:w="3456"/>
            <w:vAlign w:val="center"/>
            <w:shd w:fill="EEF2F6"/>
          </w:tcPr>
          <w:p>
            <w:pPr>
              <w:jc w:val="right"/>
            </w:pPr>
            <w:r/>
            <w:r>
              <w:rPr>
                <w:rFonts w:ascii="Aptos" w:hAnsi="Aptos"/>
                <w:b w:val="0"/>
                <w:sz w:val="15"/>
              </w:rPr>
              <w:t>Demand visibility and capacity requirement</w:t>
            </w:r>
          </w:p>
        </w:tc>
      </w:tr>
      <w:tr>
        <w:tc>
          <w:tcPr>
            <w:tcW w:type="dxa" w:w="3456"/>
            <w:vAlign w:val="center"/>
          </w:tcPr>
          <w:p>
            <w:pPr>
              <w:jc w:val="left"/>
            </w:pPr>
            <w:r/>
            <w:r>
              <w:rPr>
                <w:rFonts w:ascii="Aptos" w:hAnsi="Aptos"/>
                <w:b w:val="0"/>
                <w:sz w:val="15"/>
              </w:rPr>
              <w:t>Cloud quarterly growth</w:t>
            </w:r>
          </w:p>
        </w:tc>
        <w:tc>
          <w:tcPr>
            <w:tcW w:type="dxa" w:w="3456"/>
            <w:vAlign w:val="center"/>
          </w:tcPr>
          <w:p>
            <w:pPr>
              <w:jc w:val="right"/>
            </w:pPr>
            <w:r/>
            <w:r>
              <w:rPr>
                <w:rFonts w:ascii="Aptos" w:hAnsi="Aptos"/>
                <w:b w:val="0"/>
                <w:sz w:val="15"/>
              </w:rPr>
              <w:t>48%</w:t>
            </w:r>
          </w:p>
        </w:tc>
        <w:tc>
          <w:tcPr>
            <w:tcW w:type="dxa" w:w="3456"/>
            <w:vAlign w:val="center"/>
          </w:tcPr>
          <w:p>
            <w:pPr>
              <w:jc w:val="right"/>
            </w:pPr>
            <w:r/>
            <w:r>
              <w:rPr>
                <w:rFonts w:ascii="Aptos" w:hAnsi="Aptos"/>
                <w:b w:val="0"/>
                <w:sz w:val="15"/>
              </w:rPr>
              <w:t>AI-driven acceleration</w:t>
            </w:r>
          </w:p>
        </w:tc>
      </w:tr>
      <w:tr>
        <w:tc>
          <w:tcPr>
            <w:tcW w:type="dxa" w:w="3456"/>
            <w:vAlign w:val="center"/>
            <w:shd w:fill="EEF2F6"/>
          </w:tcPr>
          <w:p>
            <w:pPr>
              <w:jc w:val="left"/>
            </w:pPr>
            <w:r/>
            <w:r>
              <w:rPr>
                <w:rFonts w:ascii="Aptos" w:hAnsi="Aptos"/>
                <w:b w:val="0"/>
                <w:sz w:val="15"/>
              </w:rPr>
              <w:t>Gemini serving unit-cost reduction</w:t>
            </w:r>
          </w:p>
        </w:tc>
        <w:tc>
          <w:tcPr>
            <w:tcW w:type="dxa" w:w="3456"/>
            <w:vAlign w:val="center"/>
            <w:shd w:fill="EEF2F6"/>
          </w:tcPr>
          <w:p>
            <w:pPr>
              <w:jc w:val="right"/>
            </w:pPr>
            <w:r/>
            <w:r>
              <w:rPr>
                <w:rFonts w:ascii="Aptos" w:hAnsi="Aptos"/>
                <w:b w:val="0"/>
                <w:sz w:val="15"/>
              </w:rPr>
              <w:t>78% during 2025</w:t>
            </w:r>
          </w:p>
        </w:tc>
        <w:tc>
          <w:tcPr>
            <w:tcW w:type="dxa" w:w="3456"/>
            <w:vAlign w:val="center"/>
            <w:shd w:fill="EEF2F6"/>
          </w:tcPr>
          <w:p>
            <w:pPr>
              <w:jc w:val="right"/>
            </w:pPr>
            <w:r/>
            <w:r>
              <w:rPr>
                <w:rFonts w:ascii="Aptos" w:hAnsi="Aptos"/>
                <w:b w:val="0"/>
                <w:sz w:val="15"/>
              </w:rPr>
              <w:t>Improving model economics</w:t>
            </w:r>
          </w:p>
        </w:tc>
      </w:tr>
      <w:tr>
        <w:tc>
          <w:tcPr>
            <w:tcW w:type="dxa" w:w="3456"/>
            <w:vAlign w:val="center"/>
          </w:tcPr>
          <w:p>
            <w:pPr>
              <w:jc w:val="left"/>
            </w:pPr>
            <w:r/>
            <w:r>
              <w:rPr>
                <w:rFonts w:ascii="Aptos" w:hAnsi="Aptos"/>
                <w:b w:val="0"/>
                <w:sz w:val="15"/>
              </w:rPr>
              <w:t>Direct API token processing</w:t>
            </w:r>
          </w:p>
        </w:tc>
        <w:tc>
          <w:tcPr>
            <w:tcW w:type="dxa" w:w="3456"/>
            <w:vAlign w:val="center"/>
          </w:tcPr>
          <w:p>
            <w:pPr>
              <w:jc w:val="right"/>
            </w:pPr>
            <w:r/>
            <w:r>
              <w:rPr>
                <w:rFonts w:ascii="Aptos" w:hAnsi="Aptos"/>
                <w:b w:val="0"/>
                <w:sz w:val="15"/>
              </w:rPr>
              <w:t>10B+ tokens per minute</w:t>
            </w:r>
          </w:p>
        </w:tc>
        <w:tc>
          <w:tcPr>
            <w:tcW w:type="dxa" w:w="3456"/>
            <w:vAlign w:val="center"/>
          </w:tcPr>
          <w:p>
            <w:pPr>
              <w:jc w:val="right"/>
            </w:pPr>
            <w:r/>
            <w:r>
              <w:rPr>
                <w:rFonts w:ascii="Aptos" w:hAnsi="Aptos"/>
                <w:b w:val="0"/>
                <w:sz w:val="15"/>
              </w:rPr>
              <w:t>Developer and enterprise adoption</w:t>
            </w:r>
          </w:p>
        </w:tc>
      </w:tr>
      <w:tr>
        <w:tc>
          <w:tcPr>
            <w:tcW w:type="dxa" w:w="3456"/>
            <w:vAlign w:val="center"/>
            <w:shd w:fill="EEF2F6"/>
          </w:tcPr>
          <w:p>
            <w:pPr>
              <w:jc w:val="left"/>
            </w:pPr>
            <w:r/>
            <w:r>
              <w:rPr>
                <w:rFonts w:ascii="Aptos" w:hAnsi="Aptos"/>
                <w:b w:val="0"/>
                <w:sz w:val="15"/>
              </w:rPr>
              <w:t>2026 expected capex</w:t>
            </w:r>
          </w:p>
        </w:tc>
        <w:tc>
          <w:tcPr>
            <w:tcW w:type="dxa" w:w="3456"/>
            <w:vAlign w:val="center"/>
            <w:shd w:fill="EEF2F6"/>
          </w:tcPr>
          <w:p>
            <w:pPr>
              <w:jc w:val="right"/>
            </w:pPr>
            <w:r/>
            <w:r>
              <w:rPr>
                <w:rFonts w:ascii="Aptos" w:hAnsi="Aptos"/>
                <w:b w:val="0"/>
                <w:sz w:val="15"/>
              </w:rPr>
              <w:t>$175B-$185B</w:t>
            </w:r>
          </w:p>
        </w:tc>
        <w:tc>
          <w:tcPr>
            <w:tcW w:type="dxa" w:w="3456"/>
            <w:vAlign w:val="center"/>
            <w:shd w:fill="EEF2F6"/>
          </w:tcPr>
          <w:p>
            <w:pPr>
              <w:jc w:val="right"/>
            </w:pPr>
            <w:r/>
            <w:r>
              <w:rPr>
                <w:rFonts w:ascii="Aptos" w:hAnsi="Aptos"/>
                <w:b w:val="0"/>
                <w:sz w:val="15"/>
              </w:rPr>
              <w:t>Near-term FCF pressure; long-term capacity build</w:t>
            </w:r>
          </w:p>
        </w:tc>
      </w:tr>
    </w:tbl>
    <w:p>
      <w:pPr>
        <w:spacing w:after="0"/>
      </w:pPr>
    </w:p>
    <w:p>
      <w:pPr>
        <w:pStyle w:val="Heading2"/>
      </w:pPr>
      <w:r>
        <w:t>Monetization pathways</w:t>
      </w:r>
    </w:p>
    <w:p>
      <w:r>
        <w:rPr>
          <w:b/>
        </w:rPr>
        <w:t xml:space="preserve">Search advertising: </w:t>
      </w:r>
      <w:r>
        <w:t>AI Overviews and AI Mode can expand query frequency and enable monetization of longer, more complex commercial questions.</w:t>
      </w:r>
    </w:p>
    <w:p>
      <w:r>
        <w:rPr>
          <w:b/>
        </w:rPr>
        <w:t xml:space="preserve">Cloud infrastructure and platforms: </w:t>
      </w:r>
      <w:r>
        <w:t>Training, inference, data, cybersecurity, Vertex AI, and Gemini APIs generate consumption revenue.</w:t>
      </w:r>
    </w:p>
    <w:p>
      <w:r>
        <w:rPr>
          <w:b/>
        </w:rPr>
        <w:t xml:space="preserve">Enterprise agents: </w:t>
      </w:r>
      <w:r>
        <w:t>Gemini Enterprise and Workspace features monetize through seats and usage.</w:t>
      </w:r>
    </w:p>
    <w:p>
      <w:r>
        <w:rPr>
          <w:b/>
        </w:rPr>
        <w:t xml:space="preserve">Consumer subscriptions: </w:t>
      </w:r>
      <w:r>
        <w:t>Google One and YouTube provide an established path for premium AI features.</w:t>
      </w:r>
    </w:p>
    <w:p>
      <w:r>
        <w:rPr>
          <w:b/>
        </w:rPr>
        <w:t xml:space="preserve">Commerce and transactions: </w:t>
      </w:r>
      <w:r>
        <w:t>Agentic shopping tools may allow Alphabet to participate more directly in discovery-to-transaction flows.</w:t>
      </w:r>
    </w:p>
    <w:p>
      <w:r>
        <w:br w:type="page"/>
      </w:r>
    </w:p>
    <w:p>
      <w:pPr>
        <w:pStyle w:val="Heading1"/>
      </w:pPr>
      <w:r>
        <w:t>6. Financial Forecast</w:t>
      </w:r>
    </w:p>
    <w:p>
      <w:r>
        <w:drawing>
          <wp:inline xmlns:a="http://schemas.openxmlformats.org/drawingml/2006/main" xmlns:pic="http://schemas.openxmlformats.org/drawingml/2006/picture">
            <wp:extent cx="6537960" cy="3632200"/>
            <wp:docPr id="3" name="Picture 3"/>
            <wp:cNvGraphicFramePr>
              <a:graphicFrameLocks noChangeAspect="1"/>
            </wp:cNvGraphicFramePr>
            <a:graphic>
              <a:graphicData uri="http://schemas.openxmlformats.org/drawingml/2006/picture">
                <pic:pic>
                  <pic:nvPicPr>
                    <pic:cNvPr id="0" name="revenue_forecast.png"/>
                    <pic:cNvPicPr/>
                  </pic:nvPicPr>
                  <pic:blipFill>
                    <a:blip r:embed="rId13"/>
                    <a:stretch>
                      <a:fillRect/>
                    </a:stretch>
                  </pic:blipFill>
                  <pic:spPr>
                    <a:xfrm>
                      <a:off x="0" y="0"/>
                      <a:ext cx="6537960" cy="3632200"/>
                    </a:xfrm>
                    <a:prstGeom prst="rect"/>
                  </pic:spPr>
                </pic:pic>
              </a:graphicData>
            </a:graphic>
          </wp:inline>
        </w:drawing>
      </w:r>
    </w:p>
    <w:p>
      <w:pPr>
        <w:spacing w:before="40" w:after="80"/>
      </w:pPr>
      <w:r>
        <w:rPr>
          <w:i/>
          <w:color w:val="5A5A5A"/>
          <w:sz w:val="15"/>
        </w:rPr>
        <w:t>Source: 2023-2025 actual; 2026-2030 independent analyst estimates.</w:t>
      </w:r>
    </w:p>
    <w:tbl>
      <w:tblPr>
        <w:tblStyle w:val="TableGrid"/>
        <w:tblW w:type="auto" w:w="0"/>
        <w:jc w:val="center"/>
        <w:tblLook w:firstColumn="1" w:firstRow="1" w:lastColumn="0" w:lastRow="0" w:noHBand="0" w:noVBand="1" w:val="04A0"/>
      </w:tblPr>
      <w:tblGrid>
        <w:gridCol w:w="1296"/>
        <w:gridCol w:w="1296"/>
        <w:gridCol w:w="1296"/>
        <w:gridCol w:w="1296"/>
        <w:gridCol w:w="1296"/>
        <w:gridCol w:w="1296"/>
        <w:gridCol w:w="1296"/>
        <w:gridCol w:w="1296"/>
      </w:tblGrid>
      <w:tr>
        <w:tc>
          <w:tcPr>
            <w:tcW w:type="dxa" w:w="1296"/>
            <w:vAlign w:val="center"/>
            <w:shd w:fill="18304A"/>
          </w:tcPr>
          <w:p>
            <w:pPr>
              <w:jc w:val="center"/>
            </w:pPr>
            <w:r/>
            <w:r>
              <w:rPr>
                <w:rFonts w:ascii="Aptos" w:hAnsi="Aptos"/>
                <w:b/>
                <w:color w:val="FFFFFF"/>
                <w:sz w:val="15"/>
              </w:rPr>
              <w:t>Year</w:t>
            </w:r>
          </w:p>
        </w:tc>
        <w:tc>
          <w:tcPr>
            <w:tcW w:type="dxa" w:w="1296"/>
            <w:vAlign w:val="center"/>
            <w:shd w:fill="18304A"/>
          </w:tcPr>
          <w:p>
            <w:pPr>
              <w:jc w:val="center"/>
            </w:pPr>
            <w:r/>
            <w:r>
              <w:rPr>
                <w:rFonts w:ascii="Aptos" w:hAnsi="Aptos"/>
                <w:b/>
                <w:color w:val="FFFFFF"/>
                <w:sz w:val="15"/>
              </w:rPr>
              <w:t>Revenue</w:t>
            </w:r>
          </w:p>
        </w:tc>
        <w:tc>
          <w:tcPr>
            <w:tcW w:type="dxa" w:w="1296"/>
            <w:vAlign w:val="center"/>
            <w:shd w:fill="18304A"/>
          </w:tcPr>
          <w:p>
            <w:pPr>
              <w:jc w:val="center"/>
            </w:pPr>
            <w:r/>
            <w:r>
              <w:rPr>
                <w:rFonts w:ascii="Aptos" w:hAnsi="Aptos"/>
                <w:b/>
                <w:color w:val="FFFFFF"/>
                <w:sz w:val="15"/>
              </w:rPr>
              <w:t>Growth</w:t>
            </w:r>
          </w:p>
        </w:tc>
        <w:tc>
          <w:tcPr>
            <w:tcW w:type="dxa" w:w="1296"/>
            <w:vAlign w:val="center"/>
            <w:shd w:fill="18304A"/>
          </w:tcPr>
          <w:p>
            <w:pPr>
              <w:jc w:val="center"/>
            </w:pPr>
            <w:r/>
            <w:r>
              <w:rPr>
                <w:rFonts w:ascii="Aptos" w:hAnsi="Aptos"/>
                <w:b/>
                <w:color w:val="FFFFFF"/>
                <w:sz w:val="15"/>
              </w:rPr>
              <w:t>Op. Margin</w:t>
            </w:r>
          </w:p>
        </w:tc>
        <w:tc>
          <w:tcPr>
            <w:tcW w:type="dxa" w:w="1296"/>
            <w:vAlign w:val="center"/>
            <w:shd w:fill="18304A"/>
          </w:tcPr>
          <w:p>
            <w:pPr>
              <w:jc w:val="center"/>
            </w:pPr>
            <w:r/>
            <w:r>
              <w:rPr>
                <w:rFonts w:ascii="Aptos" w:hAnsi="Aptos"/>
                <w:b/>
                <w:color w:val="FFFFFF"/>
                <w:sz w:val="15"/>
              </w:rPr>
              <w:t>Op. Income</w:t>
            </w:r>
          </w:p>
        </w:tc>
        <w:tc>
          <w:tcPr>
            <w:tcW w:type="dxa" w:w="1296"/>
            <w:vAlign w:val="center"/>
            <w:shd w:fill="18304A"/>
          </w:tcPr>
          <w:p>
            <w:pPr>
              <w:jc w:val="center"/>
            </w:pPr>
            <w:r/>
            <w:r>
              <w:rPr>
                <w:rFonts w:ascii="Aptos" w:hAnsi="Aptos"/>
                <w:b/>
                <w:color w:val="FFFFFF"/>
                <w:sz w:val="15"/>
              </w:rPr>
              <w:t>Norm. EPS</w:t>
            </w:r>
          </w:p>
        </w:tc>
        <w:tc>
          <w:tcPr>
            <w:tcW w:type="dxa" w:w="1296"/>
            <w:vAlign w:val="center"/>
            <w:shd w:fill="18304A"/>
          </w:tcPr>
          <w:p>
            <w:pPr>
              <w:jc w:val="center"/>
            </w:pPr>
            <w:r/>
            <w:r>
              <w:rPr>
                <w:rFonts w:ascii="Aptos" w:hAnsi="Aptos"/>
                <w:b/>
                <w:color w:val="FFFFFF"/>
                <w:sz w:val="15"/>
              </w:rPr>
              <w:t>Capex</w:t>
            </w:r>
          </w:p>
        </w:tc>
        <w:tc>
          <w:tcPr>
            <w:tcW w:type="dxa" w:w="1296"/>
            <w:vAlign w:val="center"/>
            <w:shd w:fill="18304A"/>
          </w:tcPr>
          <w:p>
            <w:pPr>
              <w:jc w:val="center"/>
            </w:pPr>
            <w:r/>
            <w:r>
              <w:rPr>
                <w:rFonts w:ascii="Aptos" w:hAnsi="Aptos"/>
                <w:b/>
                <w:color w:val="FFFFFF"/>
                <w:sz w:val="15"/>
              </w:rPr>
              <w:t>FCF</w:t>
            </w:r>
          </w:p>
        </w:tc>
      </w:tr>
      <w:tr>
        <w:tc>
          <w:tcPr>
            <w:tcW w:type="dxa" w:w="1296"/>
            <w:vAlign w:val="center"/>
          </w:tcPr>
          <w:p>
            <w:pPr>
              <w:jc w:val="left"/>
            </w:pPr>
            <w:r/>
            <w:r>
              <w:rPr>
                <w:rFonts w:ascii="Aptos" w:hAnsi="Aptos"/>
                <w:b w:val="0"/>
                <w:sz w:val="15"/>
              </w:rPr>
              <w:t>2026</w:t>
            </w:r>
          </w:p>
        </w:tc>
        <w:tc>
          <w:tcPr>
            <w:tcW w:type="dxa" w:w="1296"/>
            <w:vAlign w:val="center"/>
          </w:tcPr>
          <w:p>
            <w:pPr>
              <w:jc w:val="right"/>
            </w:pPr>
            <w:r/>
            <w:r>
              <w:rPr>
                <w:rFonts w:ascii="Aptos" w:hAnsi="Aptos"/>
                <w:b w:val="0"/>
                <w:sz w:val="15"/>
              </w:rPr>
              <w:t>$465B</w:t>
            </w:r>
          </w:p>
        </w:tc>
        <w:tc>
          <w:tcPr>
            <w:tcW w:type="dxa" w:w="1296"/>
            <w:vAlign w:val="center"/>
          </w:tcPr>
          <w:p>
            <w:pPr>
              <w:jc w:val="right"/>
            </w:pPr>
            <w:r/>
            <w:r>
              <w:rPr>
                <w:rFonts w:ascii="Aptos" w:hAnsi="Aptos"/>
                <w:b w:val="0"/>
                <w:sz w:val="15"/>
              </w:rPr>
              <w:t>15.4%</w:t>
            </w:r>
          </w:p>
        </w:tc>
        <w:tc>
          <w:tcPr>
            <w:tcW w:type="dxa" w:w="1296"/>
            <w:vAlign w:val="center"/>
          </w:tcPr>
          <w:p>
            <w:pPr>
              <w:jc w:val="right"/>
            </w:pPr>
            <w:r/>
            <w:r>
              <w:rPr>
                <w:rFonts w:ascii="Aptos" w:hAnsi="Aptos"/>
                <w:b w:val="0"/>
                <w:sz w:val="15"/>
              </w:rPr>
              <w:t>30.0%</w:t>
            </w:r>
          </w:p>
        </w:tc>
        <w:tc>
          <w:tcPr>
            <w:tcW w:type="dxa" w:w="1296"/>
            <w:vAlign w:val="center"/>
          </w:tcPr>
          <w:p>
            <w:pPr>
              <w:jc w:val="right"/>
            </w:pPr>
            <w:r/>
            <w:r>
              <w:rPr>
                <w:rFonts w:ascii="Aptos" w:hAnsi="Aptos"/>
                <w:b w:val="0"/>
                <w:sz w:val="15"/>
              </w:rPr>
              <w:t>$139.5B</w:t>
            </w:r>
          </w:p>
        </w:tc>
        <w:tc>
          <w:tcPr>
            <w:tcW w:type="dxa" w:w="1296"/>
            <w:vAlign w:val="center"/>
          </w:tcPr>
          <w:p>
            <w:pPr>
              <w:jc w:val="right"/>
            </w:pPr>
            <w:r/>
            <w:r>
              <w:rPr>
                <w:rFonts w:ascii="Aptos" w:hAnsi="Aptos"/>
                <w:b w:val="0"/>
                <w:sz w:val="15"/>
              </w:rPr>
              <w:t>$11.60</w:t>
            </w:r>
          </w:p>
        </w:tc>
        <w:tc>
          <w:tcPr>
            <w:tcW w:type="dxa" w:w="1296"/>
            <w:vAlign w:val="center"/>
          </w:tcPr>
          <w:p>
            <w:pPr>
              <w:jc w:val="right"/>
            </w:pPr>
            <w:r/>
            <w:r>
              <w:rPr>
                <w:rFonts w:ascii="Aptos" w:hAnsi="Aptos"/>
                <w:b w:val="0"/>
                <w:sz w:val="15"/>
              </w:rPr>
              <w:t>$180B</w:t>
            </w:r>
          </w:p>
        </w:tc>
        <w:tc>
          <w:tcPr>
            <w:tcW w:type="dxa" w:w="1296"/>
            <w:vAlign w:val="center"/>
          </w:tcPr>
          <w:p>
            <w:pPr>
              <w:jc w:val="right"/>
            </w:pPr>
            <w:r/>
            <w:r>
              <w:rPr>
                <w:rFonts w:ascii="Aptos" w:hAnsi="Aptos"/>
                <w:b w:val="0"/>
                <w:sz w:val="15"/>
              </w:rPr>
              <w:t>$48B</w:t>
            </w:r>
          </w:p>
        </w:tc>
      </w:tr>
      <w:tr>
        <w:tc>
          <w:tcPr>
            <w:tcW w:type="dxa" w:w="1296"/>
            <w:vAlign w:val="center"/>
            <w:shd w:fill="EEF2F6"/>
          </w:tcPr>
          <w:p>
            <w:pPr>
              <w:jc w:val="left"/>
            </w:pPr>
            <w:r/>
            <w:r>
              <w:rPr>
                <w:rFonts w:ascii="Aptos" w:hAnsi="Aptos"/>
                <w:b w:val="0"/>
                <w:sz w:val="15"/>
              </w:rPr>
              <w:t>2027</w:t>
            </w:r>
          </w:p>
        </w:tc>
        <w:tc>
          <w:tcPr>
            <w:tcW w:type="dxa" w:w="1296"/>
            <w:vAlign w:val="center"/>
            <w:shd w:fill="EEF2F6"/>
          </w:tcPr>
          <w:p>
            <w:pPr>
              <w:jc w:val="right"/>
            </w:pPr>
            <w:r/>
            <w:r>
              <w:rPr>
                <w:rFonts w:ascii="Aptos" w:hAnsi="Aptos"/>
                <w:b w:val="0"/>
                <w:sz w:val="15"/>
              </w:rPr>
              <w:t>$529B</w:t>
            </w:r>
          </w:p>
        </w:tc>
        <w:tc>
          <w:tcPr>
            <w:tcW w:type="dxa" w:w="1296"/>
            <w:vAlign w:val="center"/>
            <w:shd w:fill="EEF2F6"/>
          </w:tcPr>
          <w:p>
            <w:pPr>
              <w:jc w:val="right"/>
            </w:pPr>
            <w:r/>
            <w:r>
              <w:rPr>
                <w:rFonts w:ascii="Aptos" w:hAnsi="Aptos"/>
                <w:b w:val="0"/>
                <w:sz w:val="15"/>
              </w:rPr>
              <w:t>13.8%</w:t>
            </w:r>
          </w:p>
        </w:tc>
        <w:tc>
          <w:tcPr>
            <w:tcW w:type="dxa" w:w="1296"/>
            <w:vAlign w:val="center"/>
            <w:shd w:fill="EEF2F6"/>
          </w:tcPr>
          <w:p>
            <w:pPr>
              <w:jc w:val="right"/>
            </w:pPr>
            <w:r/>
            <w:r>
              <w:rPr>
                <w:rFonts w:ascii="Aptos" w:hAnsi="Aptos"/>
                <w:b w:val="0"/>
                <w:sz w:val="15"/>
              </w:rPr>
              <w:t>31.0%</w:t>
            </w:r>
          </w:p>
        </w:tc>
        <w:tc>
          <w:tcPr>
            <w:tcW w:type="dxa" w:w="1296"/>
            <w:vAlign w:val="center"/>
            <w:shd w:fill="EEF2F6"/>
          </w:tcPr>
          <w:p>
            <w:pPr>
              <w:jc w:val="right"/>
            </w:pPr>
            <w:r/>
            <w:r>
              <w:rPr>
                <w:rFonts w:ascii="Aptos" w:hAnsi="Aptos"/>
                <w:b w:val="0"/>
                <w:sz w:val="15"/>
              </w:rPr>
              <w:t>$164.0B</w:t>
            </w:r>
          </w:p>
        </w:tc>
        <w:tc>
          <w:tcPr>
            <w:tcW w:type="dxa" w:w="1296"/>
            <w:vAlign w:val="center"/>
            <w:shd w:fill="EEF2F6"/>
          </w:tcPr>
          <w:p>
            <w:pPr>
              <w:jc w:val="right"/>
            </w:pPr>
            <w:r/>
            <w:r>
              <w:rPr>
                <w:rFonts w:ascii="Aptos" w:hAnsi="Aptos"/>
                <w:b w:val="0"/>
                <w:sz w:val="15"/>
              </w:rPr>
              <w:t>$13.30</w:t>
            </w:r>
          </w:p>
        </w:tc>
        <w:tc>
          <w:tcPr>
            <w:tcW w:type="dxa" w:w="1296"/>
            <w:vAlign w:val="center"/>
            <w:shd w:fill="EEF2F6"/>
          </w:tcPr>
          <w:p>
            <w:pPr>
              <w:jc w:val="right"/>
            </w:pPr>
            <w:r/>
            <w:r>
              <w:rPr>
                <w:rFonts w:ascii="Aptos" w:hAnsi="Aptos"/>
                <w:b w:val="0"/>
                <w:sz w:val="15"/>
              </w:rPr>
              <w:t>$170B</w:t>
            </w:r>
          </w:p>
        </w:tc>
        <w:tc>
          <w:tcPr>
            <w:tcW w:type="dxa" w:w="1296"/>
            <w:vAlign w:val="center"/>
            <w:shd w:fill="EEF2F6"/>
          </w:tcPr>
          <w:p>
            <w:pPr>
              <w:jc w:val="right"/>
            </w:pPr>
            <w:r/>
            <w:r>
              <w:rPr>
                <w:rFonts w:ascii="Aptos" w:hAnsi="Aptos"/>
                <w:b w:val="0"/>
                <w:sz w:val="15"/>
              </w:rPr>
              <w:t>$82B</w:t>
            </w:r>
          </w:p>
        </w:tc>
      </w:tr>
      <w:tr>
        <w:tc>
          <w:tcPr>
            <w:tcW w:type="dxa" w:w="1296"/>
            <w:vAlign w:val="center"/>
          </w:tcPr>
          <w:p>
            <w:pPr>
              <w:jc w:val="left"/>
            </w:pPr>
            <w:r/>
            <w:r>
              <w:rPr>
                <w:rFonts w:ascii="Aptos" w:hAnsi="Aptos"/>
                <w:b w:val="0"/>
                <w:sz w:val="15"/>
              </w:rPr>
              <w:t>2028</w:t>
            </w:r>
          </w:p>
        </w:tc>
        <w:tc>
          <w:tcPr>
            <w:tcW w:type="dxa" w:w="1296"/>
            <w:vAlign w:val="center"/>
          </w:tcPr>
          <w:p>
            <w:pPr>
              <w:jc w:val="right"/>
            </w:pPr>
            <w:r/>
            <w:r>
              <w:rPr>
                <w:rFonts w:ascii="Aptos" w:hAnsi="Aptos"/>
                <w:b w:val="0"/>
                <w:sz w:val="15"/>
              </w:rPr>
              <w:t>$594B</w:t>
            </w:r>
          </w:p>
        </w:tc>
        <w:tc>
          <w:tcPr>
            <w:tcW w:type="dxa" w:w="1296"/>
            <w:vAlign w:val="center"/>
          </w:tcPr>
          <w:p>
            <w:pPr>
              <w:jc w:val="right"/>
            </w:pPr>
            <w:r/>
            <w:r>
              <w:rPr>
                <w:rFonts w:ascii="Aptos" w:hAnsi="Aptos"/>
                <w:b w:val="0"/>
                <w:sz w:val="15"/>
              </w:rPr>
              <w:t>12.3%</w:t>
            </w:r>
          </w:p>
        </w:tc>
        <w:tc>
          <w:tcPr>
            <w:tcW w:type="dxa" w:w="1296"/>
            <w:vAlign w:val="center"/>
          </w:tcPr>
          <w:p>
            <w:pPr>
              <w:jc w:val="right"/>
            </w:pPr>
            <w:r/>
            <w:r>
              <w:rPr>
                <w:rFonts w:ascii="Aptos" w:hAnsi="Aptos"/>
                <w:b w:val="0"/>
                <w:sz w:val="15"/>
              </w:rPr>
              <w:t>32.0%</w:t>
            </w:r>
          </w:p>
        </w:tc>
        <w:tc>
          <w:tcPr>
            <w:tcW w:type="dxa" w:w="1296"/>
            <w:vAlign w:val="center"/>
          </w:tcPr>
          <w:p>
            <w:pPr>
              <w:jc w:val="right"/>
            </w:pPr>
            <w:r/>
            <w:r>
              <w:rPr>
                <w:rFonts w:ascii="Aptos" w:hAnsi="Aptos"/>
                <w:b w:val="0"/>
                <w:sz w:val="15"/>
              </w:rPr>
              <w:t>$190.1B</w:t>
            </w:r>
          </w:p>
        </w:tc>
        <w:tc>
          <w:tcPr>
            <w:tcW w:type="dxa" w:w="1296"/>
            <w:vAlign w:val="center"/>
          </w:tcPr>
          <w:p>
            <w:pPr>
              <w:jc w:val="right"/>
            </w:pPr>
            <w:r/>
            <w:r>
              <w:rPr>
                <w:rFonts w:ascii="Aptos" w:hAnsi="Aptos"/>
                <w:b w:val="0"/>
                <w:sz w:val="15"/>
              </w:rPr>
              <w:t>$15.20</w:t>
            </w:r>
          </w:p>
        </w:tc>
        <w:tc>
          <w:tcPr>
            <w:tcW w:type="dxa" w:w="1296"/>
            <w:vAlign w:val="center"/>
          </w:tcPr>
          <w:p>
            <w:pPr>
              <w:jc w:val="right"/>
            </w:pPr>
            <w:r/>
            <w:r>
              <w:rPr>
                <w:rFonts w:ascii="Aptos" w:hAnsi="Aptos"/>
                <w:b w:val="0"/>
                <w:sz w:val="15"/>
              </w:rPr>
              <w:t>$155B</w:t>
            </w:r>
          </w:p>
        </w:tc>
        <w:tc>
          <w:tcPr>
            <w:tcW w:type="dxa" w:w="1296"/>
            <w:vAlign w:val="center"/>
          </w:tcPr>
          <w:p>
            <w:pPr>
              <w:jc w:val="right"/>
            </w:pPr>
            <w:r/>
            <w:r>
              <w:rPr>
                <w:rFonts w:ascii="Aptos" w:hAnsi="Aptos"/>
                <w:b w:val="0"/>
                <w:sz w:val="15"/>
              </w:rPr>
              <w:t>$120B</w:t>
            </w:r>
          </w:p>
        </w:tc>
      </w:tr>
      <w:tr>
        <w:tc>
          <w:tcPr>
            <w:tcW w:type="dxa" w:w="1296"/>
            <w:vAlign w:val="center"/>
            <w:shd w:fill="EEF2F6"/>
          </w:tcPr>
          <w:p>
            <w:pPr>
              <w:jc w:val="left"/>
            </w:pPr>
            <w:r/>
            <w:r>
              <w:rPr>
                <w:rFonts w:ascii="Aptos" w:hAnsi="Aptos"/>
                <w:b w:val="0"/>
                <w:sz w:val="15"/>
              </w:rPr>
              <w:t>2029</w:t>
            </w:r>
          </w:p>
        </w:tc>
        <w:tc>
          <w:tcPr>
            <w:tcW w:type="dxa" w:w="1296"/>
            <w:vAlign w:val="center"/>
            <w:shd w:fill="EEF2F6"/>
          </w:tcPr>
          <w:p>
            <w:pPr>
              <w:jc w:val="right"/>
            </w:pPr>
            <w:r/>
            <w:r>
              <w:rPr>
                <w:rFonts w:ascii="Aptos" w:hAnsi="Aptos"/>
                <w:b w:val="0"/>
                <w:sz w:val="15"/>
              </w:rPr>
              <w:t>$659B</w:t>
            </w:r>
          </w:p>
        </w:tc>
        <w:tc>
          <w:tcPr>
            <w:tcW w:type="dxa" w:w="1296"/>
            <w:vAlign w:val="center"/>
            <w:shd w:fill="EEF2F6"/>
          </w:tcPr>
          <w:p>
            <w:pPr>
              <w:jc w:val="right"/>
            </w:pPr>
            <w:r/>
            <w:r>
              <w:rPr>
                <w:rFonts w:ascii="Aptos" w:hAnsi="Aptos"/>
                <w:b w:val="0"/>
                <w:sz w:val="15"/>
              </w:rPr>
              <w:t>10.9%</w:t>
            </w:r>
          </w:p>
        </w:tc>
        <w:tc>
          <w:tcPr>
            <w:tcW w:type="dxa" w:w="1296"/>
            <w:vAlign w:val="center"/>
            <w:shd w:fill="EEF2F6"/>
          </w:tcPr>
          <w:p>
            <w:pPr>
              <w:jc w:val="right"/>
            </w:pPr>
            <w:r/>
            <w:r>
              <w:rPr>
                <w:rFonts w:ascii="Aptos" w:hAnsi="Aptos"/>
                <w:b w:val="0"/>
                <w:sz w:val="15"/>
              </w:rPr>
              <w:t>33.0%</w:t>
            </w:r>
          </w:p>
        </w:tc>
        <w:tc>
          <w:tcPr>
            <w:tcW w:type="dxa" w:w="1296"/>
            <w:vAlign w:val="center"/>
            <w:shd w:fill="EEF2F6"/>
          </w:tcPr>
          <w:p>
            <w:pPr>
              <w:jc w:val="right"/>
            </w:pPr>
            <w:r/>
            <w:r>
              <w:rPr>
                <w:rFonts w:ascii="Aptos" w:hAnsi="Aptos"/>
                <w:b w:val="0"/>
                <w:sz w:val="15"/>
              </w:rPr>
              <w:t>$217.5B</w:t>
            </w:r>
          </w:p>
        </w:tc>
        <w:tc>
          <w:tcPr>
            <w:tcW w:type="dxa" w:w="1296"/>
            <w:vAlign w:val="center"/>
            <w:shd w:fill="EEF2F6"/>
          </w:tcPr>
          <w:p>
            <w:pPr>
              <w:jc w:val="right"/>
            </w:pPr>
            <w:r/>
            <w:r>
              <w:rPr>
                <w:rFonts w:ascii="Aptos" w:hAnsi="Aptos"/>
                <w:b w:val="0"/>
                <w:sz w:val="15"/>
              </w:rPr>
              <w:t>$17.30</w:t>
            </w:r>
          </w:p>
        </w:tc>
        <w:tc>
          <w:tcPr>
            <w:tcW w:type="dxa" w:w="1296"/>
            <w:vAlign w:val="center"/>
            <w:shd w:fill="EEF2F6"/>
          </w:tcPr>
          <w:p>
            <w:pPr>
              <w:jc w:val="right"/>
            </w:pPr>
            <w:r/>
            <w:r>
              <w:rPr>
                <w:rFonts w:ascii="Aptos" w:hAnsi="Aptos"/>
                <w:b w:val="0"/>
                <w:sz w:val="15"/>
              </w:rPr>
              <w:t>$145B</w:t>
            </w:r>
          </w:p>
        </w:tc>
        <w:tc>
          <w:tcPr>
            <w:tcW w:type="dxa" w:w="1296"/>
            <w:vAlign w:val="center"/>
            <w:shd w:fill="EEF2F6"/>
          </w:tcPr>
          <w:p>
            <w:pPr>
              <w:jc w:val="right"/>
            </w:pPr>
            <w:r/>
            <w:r>
              <w:rPr>
                <w:rFonts w:ascii="Aptos" w:hAnsi="Aptos"/>
                <w:b w:val="0"/>
                <w:sz w:val="15"/>
              </w:rPr>
              <w:t>$157B</w:t>
            </w:r>
          </w:p>
        </w:tc>
      </w:tr>
      <w:tr>
        <w:tc>
          <w:tcPr>
            <w:tcW w:type="dxa" w:w="1296"/>
            <w:vAlign w:val="center"/>
          </w:tcPr>
          <w:p>
            <w:pPr>
              <w:jc w:val="left"/>
            </w:pPr>
            <w:r/>
            <w:r>
              <w:rPr>
                <w:rFonts w:ascii="Aptos" w:hAnsi="Aptos"/>
                <w:b w:val="0"/>
                <w:sz w:val="15"/>
              </w:rPr>
              <w:t>2030</w:t>
            </w:r>
          </w:p>
        </w:tc>
        <w:tc>
          <w:tcPr>
            <w:tcW w:type="dxa" w:w="1296"/>
            <w:vAlign w:val="center"/>
          </w:tcPr>
          <w:p>
            <w:pPr>
              <w:jc w:val="right"/>
            </w:pPr>
            <w:r/>
            <w:r>
              <w:rPr>
                <w:rFonts w:ascii="Aptos" w:hAnsi="Aptos"/>
                <w:b w:val="0"/>
                <w:sz w:val="15"/>
              </w:rPr>
              <w:t>$724B</w:t>
            </w:r>
          </w:p>
        </w:tc>
        <w:tc>
          <w:tcPr>
            <w:tcW w:type="dxa" w:w="1296"/>
            <w:vAlign w:val="center"/>
          </w:tcPr>
          <w:p>
            <w:pPr>
              <w:jc w:val="right"/>
            </w:pPr>
            <w:r/>
            <w:r>
              <w:rPr>
                <w:rFonts w:ascii="Aptos" w:hAnsi="Aptos"/>
                <w:b w:val="0"/>
                <w:sz w:val="15"/>
              </w:rPr>
              <w:t>9.9%</w:t>
            </w:r>
          </w:p>
        </w:tc>
        <w:tc>
          <w:tcPr>
            <w:tcW w:type="dxa" w:w="1296"/>
            <w:vAlign w:val="center"/>
          </w:tcPr>
          <w:p>
            <w:pPr>
              <w:jc w:val="right"/>
            </w:pPr>
            <w:r/>
            <w:r>
              <w:rPr>
                <w:rFonts w:ascii="Aptos" w:hAnsi="Aptos"/>
                <w:b w:val="0"/>
                <w:sz w:val="15"/>
              </w:rPr>
              <w:t>33.5%</w:t>
            </w:r>
          </w:p>
        </w:tc>
        <w:tc>
          <w:tcPr>
            <w:tcW w:type="dxa" w:w="1296"/>
            <w:vAlign w:val="center"/>
          </w:tcPr>
          <w:p>
            <w:pPr>
              <w:jc w:val="right"/>
            </w:pPr>
            <w:r/>
            <w:r>
              <w:rPr>
                <w:rFonts w:ascii="Aptos" w:hAnsi="Aptos"/>
                <w:b w:val="0"/>
                <w:sz w:val="15"/>
              </w:rPr>
              <w:t>$242.5B</w:t>
            </w:r>
          </w:p>
        </w:tc>
        <w:tc>
          <w:tcPr>
            <w:tcW w:type="dxa" w:w="1296"/>
            <w:vAlign w:val="center"/>
          </w:tcPr>
          <w:p>
            <w:pPr>
              <w:jc w:val="right"/>
            </w:pPr>
            <w:r/>
            <w:r>
              <w:rPr>
                <w:rFonts w:ascii="Aptos" w:hAnsi="Aptos"/>
                <w:b w:val="0"/>
                <w:sz w:val="15"/>
              </w:rPr>
              <w:t>$19.40</w:t>
            </w:r>
          </w:p>
        </w:tc>
        <w:tc>
          <w:tcPr>
            <w:tcW w:type="dxa" w:w="1296"/>
            <w:vAlign w:val="center"/>
          </w:tcPr>
          <w:p>
            <w:pPr>
              <w:jc w:val="right"/>
            </w:pPr>
            <w:r/>
            <w:r>
              <w:rPr>
                <w:rFonts w:ascii="Aptos" w:hAnsi="Aptos"/>
                <w:b w:val="0"/>
                <w:sz w:val="15"/>
              </w:rPr>
              <w:t>$140B</w:t>
            </w:r>
          </w:p>
        </w:tc>
        <w:tc>
          <w:tcPr>
            <w:tcW w:type="dxa" w:w="1296"/>
            <w:vAlign w:val="center"/>
          </w:tcPr>
          <w:p>
            <w:pPr>
              <w:jc w:val="right"/>
            </w:pPr>
            <w:r/>
            <w:r>
              <w:rPr>
                <w:rFonts w:ascii="Aptos" w:hAnsi="Aptos"/>
                <w:b w:val="0"/>
                <w:sz w:val="15"/>
              </w:rPr>
              <w:t>$194B</w:t>
            </w:r>
          </w:p>
        </w:tc>
      </w:tr>
    </w:tbl>
    <w:p>
      <w:pPr>
        <w:spacing w:after="0"/>
      </w:pPr>
    </w:p>
    <w:p>
      <w:pPr>
        <w:pStyle w:val="Heading2"/>
      </w:pPr>
      <w:r>
        <w:t>Forecast assumptions</w:t>
      </w:r>
    </w:p>
    <w:p>
      <w:pPr>
        <w:pStyle w:val="ListBullet"/>
      </w:pPr>
      <w:r>
        <w:t>Search growth moderates from the strong 2025 exit rate but remains supported by AI-driven query growth, ad automation, and commercial intent.</w:t>
      </w:r>
    </w:p>
    <w:p>
      <w:pPr>
        <w:pStyle w:val="ListBullet"/>
      </w:pPr>
      <w:r>
        <w:t>Cloud remains the fastest-growing major business, with growth decelerating gradually as its revenue base expands and backlog converts.</w:t>
      </w:r>
    </w:p>
    <w:p>
      <w:pPr>
        <w:pStyle w:val="ListBullet"/>
      </w:pPr>
      <w:r>
        <w:t>Subscriptions, platforms, and devices continue to grow at a double-digit rate; Network revenue remains pressured.</w:t>
      </w:r>
    </w:p>
    <w:p>
      <w:pPr>
        <w:pStyle w:val="ListBullet"/>
      </w:pPr>
      <w:r>
        <w:t>2026 capex is modeled at $180 billion, the midpoint of management's range. Capex declines gradually as a percentage of revenue after the initial capacity build.</w:t>
      </w:r>
    </w:p>
    <w:p>
      <w:pPr>
        <w:pStyle w:val="ListBullet"/>
      </w:pPr>
      <w:r>
        <w:t>Operating margin dips in 2026 due to depreciation, energy, and infrastructure costs, then recovers as Cloud mix and utilization improve.</w:t>
      </w:r>
    </w:p>
    <w:p>
      <w:pPr>
        <w:pStyle w:val="ListBullet"/>
      </w:pPr>
      <w:r>
        <w:t>Normalized EPS excludes unusually large unrealized investment gains and is intended to represent recurring earnings power.</w:t>
      </w:r>
    </w:p>
    <w:p>
      <w:r>
        <w:br w:type="page"/>
      </w:r>
    </w:p>
    <w:p>
      <w:pPr>
        <w:pStyle w:val="Heading1"/>
      </w:pPr>
      <w:r>
        <w:t>7. Cash Flow and Capital Allocation</w:t>
      </w:r>
    </w:p>
    <w:p>
      <w:r>
        <w:drawing>
          <wp:inline xmlns:a="http://schemas.openxmlformats.org/drawingml/2006/main" xmlns:pic="http://schemas.openxmlformats.org/drawingml/2006/picture">
            <wp:extent cx="6537960" cy="3632200"/>
            <wp:docPr id="4" name="Picture 4"/>
            <wp:cNvGraphicFramePr>
              <a:graphicFrameLocks noChangeAspect="1"/>
            </wp:cNvGraphicFramePr>
            <a:graphic>
              <a:graphicData uri="http://schemas.openxmlformats.org/drawingml/2006/picture">
                <pic:pic>
                  <pic:nvPicPr>
                    <pic:cNvPr id="0" name="fcf_forecast.png"/>
                    <pic:cNvPicPr/>
                  </pic:nvPicPr>
                  <pic:blipFill>
                    <a:blip r:embed="rId14"/>
                    <a:stretch>
                      <a:fillRect/>
                    </a:stretch>
                  </pic:blipFill>
                  <pic:spPr>
                    <a:xfrm>
                      <a:off x="0" y="0"/>
                      <a:ext cx="6537960" cy="3632200"/>
                    </a:xfrm>
                    <a:prstGeom prst="rect"/>
                  </pic:spPr>
                </pic:pic>
              </a:graphicData>
            </a:graphic>
          </wp:inline>
        </w:drawing>
      </w:r>
    </w:p>
    <w:p>
      <w:pPr>
        <w:spacing w:before="40" w:after="80"/>
      </w:pPr>
      <w:r>
        <w:rPr>
          <w:i/>
          <w:color w:val="5A5A5A"/>
          <w:sz w:val="15"/>
        </w:rPr>
        <w:t>Source: 2023-2025 actual; 2026-2030 independent analyst estimates.</w:t>
      </w:r>
    </w:p>
    <w:p>
      <w:r>
        <w:t>The forecast intentionally shows a free-cash-flow trough in 2026. A bullish valuation should not treat AI infrastructure as costless. The investment case instead assumes that capex creates durable capacity and that free cash flow recovers as revenue grows, utilization rises, and the construction cycle matures.</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18304A"/>
          </w:tcPr>
          <w:p>
            <w:pPr>
              <w:jc w:val="center"/>
            </w:pPr>
            <w:r/>
            <w:r>
              <w:rPr>
                <w:rFonts w:ascii="Aptos" w:hAnsi="Aptos"/>
                <w:b/>
                <w:color w:val="FFFFFF"/>
                <w:sz w:val="16"/>
              </w:rPr>
              <w:t>Capital Allocation Item</w:t>
            </w:r>
          </w:p>
        </w:tc>
        <w:tc>
          <w:tcPr>
            <w:tcW w:type="dxa" w:w="3456"/>
            <w:vAlign w:val="center"/>
            <w:shd w:fill="18304A"/>
          </w:tcPr>
          <w:p>
            <w:pPr>
              <w:jc w:val="center"/>
            </w:pPr>
            <w:r/>
            <w:r>
              <w:rPr>
                <w:rFonts w:ascii="Aptos" w:hAnsi="Aptos"/>
                <w:b/>
                <w:color w:val="FFFFFF"/>
                <w:sz w:val="16"/>
              </w:rPr>
              <w:t>2025 Actual / Status</w:t>
            </w:r>
          </w:p>
        </w:tc>
        <w:tc>
          <w:tcPr>
            <w:tcW w:type="dxa" w:w="3456"/>
            <w:vAlign w:val="center"/>
            <w:shd w:fill="18304A"/>
          </w:tcPr>
          <w:p>
            <w:pPr>
              <w:jc w:val="center"/>
            </w:pPr>
            <w:r/>
            <w:r>
              <w:rPr>
                <w:rFonts w:ascii="Aptos" w:hAnsi="Aptos"/>
                <w:b/>
                <w:color w:val="FFFFFF"/>
                <w:sz w:val="16"/>
              </w:rPr>
              <w:t>Assessment</w:t>
            </w:r>
          </w:p>
        </w:tc>
      </w:tr>
      <w:tr>
        <w:tc>
          <w:tcPr>
            <w:tcW w:type="dxa" w:w="3456"/>
            <w:vAlign w:val="center"/>
          </w:tcPr>
          <w:p>
            <w:pPr>
              <w:jc w:val="left"/>
            </w:pPr>
            <w:r/>
            <w:r>
              <w:rPr>
                <w:rFonts w:ascii="Aptos" w:hAnsi="Aptos"/>
                <w:b w:val="0"/>
                <w:sz w:val="16"/>
              </w:rPr>
              <w:t>Operating cash flow</w:t>
            </w:r>
          </w:p>
        </w:tc>
        <w:tc>
          <w:tcPr>
            <w:tcW w:type="dxa" w:w="3456"/>
            <w:vAlign w:val="center"/>
          </w:tcPr>
          <w:p>
            <w:pPr>
              <w:jc w:val="right"/>
            </w:pPr>
            <w:r/>
            <w:r>
              <w:rPr>
                <w:rFonts w:ascii="Aptos" w:hAnsi="Aptos"/>
                <w:b w:val="0"/>
                <w:sz w:val="16"/>
              </w:rPr>
              <w:t>$164.7B</w:t>
            </w:r>
          </w:p>
        </w:tc>
        <w:tc>
          <w:tcPr>
            <w:tcW w:type="dxa" w:w="3456"/>
            <w:vAlign w:val="center"/>
          </w:tcPr>
          <w:p>
            <w:pPr>
              <w:jc w:val="right"/>
            </w:pPr>
            <w:r/>
            <w:r>
              <w:rPr>
                <w:rFonts w:ascii="Aptos" w:hAnsi="Aptos"/>
                <w:b w:val="0"/>
                <w:sz w:val="16"/>
              </w:rPr>
              <w:t>Strong internally funded investment capacity</w:t>
            </w:r>
          </w:p>
        </w:tc>
      </w:tr>
      <w:tr>
        <w:tc>
          <w:tcPr>
            <w:tcW w:type="dxa" w:w="3456"/>
            <w:vAlign w:val="center"/>
            <w:shd w:fill="EEF2F6"/>
          </w:tcPr>
          <w:p>
            <w:pPr>
              <w:jc w:val="left"/>
            </w:pPr>
            <w:r/>
            <w:r>
              <w:rPr>
                <w:rFonts w:ascii="Aptos" w:hAnsi="Aptos"/>
                <w:b w:val="0"/>
                <w:sz w:val="16"/>
              </w:rPr>
              <w:t>Capital expenditures</w:t>
            </w:r>
          </w:p>
        </w:tc>
        <w:tc>
          <w:tcPr>
            <w:tcW w:type="dxa" w:w="3456"/>
            <w:vAlign w:val="center"/>
            <w:shd w:fill="EEF2F6"/>
          </w:tcPr>
          <w:p>
            <w:pPr>
              <w:jc w:val="right"/>
            </w:pPr>
            <w:r/>
            <w:r>
              <w:rPr>
                <w:rFonts w:ascii="Aptos" w:hAnsi="Aptos"/>
                <w:b w:val="0"/>
                <w:sz w:val="16"/>
              </w:rPr>
              <w:t>$91.4B</w:t>
            </w:r>
          </w:p>
        </w:tc>
        <w:tc>
          <w:tcPr>
            <w:tcW w:type="dxa" w:w="3456"/>
            <w:vAlign w:val="center"/>
            <w:shd w:fill="EEF2F6"/>
          </w:tcPr>
          <w:p>
            <w:pPr>
              <w:jc w:val="right"/>
            </w:pPr>
            <w:r/>
            <w:r>
              <w:rPr>
                <w:rFonts w:ascii="Aptos" w:hAnsi="Aptos"/>
                <w:b w:val="0"/>
                <w:sz w:val="16"/>
              </w:rPr>
              <w:t>Rapidly rising AI and data-center investment</w:t>
            </w:r>
          </w:p>
        </w:tc>
      </w:tr>
      <w:tr>
        <w:tc>
          <w:tcPr>
            <w:tcW w:type="dxa" w:w="3456"/>
            <w:vAlign w:val="center"/>
          </w:tcPr>
          <w:p>
            <w:pPr>
              <w:jc w:val="left"/>
            </w:pPr>
            <w:r/>
            <w:r>
              <w:rPr>
                <w:rFonts w:ascii="Aptos" w:hAnsi="Aptos"/>
                <w:b w:val="0"/>
                <w:sz w:val="16"/>
              </w:rPr>
              <w:t>Share repurchases</w:t>
            </w:r>
          </w:p>
        </w:tc>
        <w:tc>
          <w:tcPr>
            <w:tcW w:type="dxa" w:w="3456"/>
            <w:vAlign w:val="center"/>
          </w:tcPr>
          <w:p>
            <w:pPr>
              <w:jc w:val="right"/>
            </w:pPr>
            <w:r/>
            <w:r>
              <w:rPr>
                <w:rFonts w:ascii="Aptos" w:hAnsi="Aptos"/>
                <w:b w:val="0"/>
                <w:sz w:val="16"/>
              </w:rPr>
              <w:t>$45.4B</w:t>
            </w:r>
          </w:p>
        </w:tc>
        <w:tc>
          <w:tcPr>
            <w:tcW w:type="dxa" w:w="3456"/>
            <w:vAlign w:val="center"/>
          </w:tcPr>
          <w:p>
            <w:pPr>
              <w:jc w:val="right"/>
            </w:pPr>
            <w:r/>
            <w:r>
              <w:rPr>
                <w:rFonts w:ascii="Aptos" w:hAnsi="Aptos"/>
                <w:b w:val="0"/>
                <w:sz w:val="16"/>
              </w:rPr>
              <w:t>Supports per-share growth, but below 2024 pace</w:t>
            </w:r>
          </w:p>
        </w:tc>
      </w:tr>
      <w:tr>
        <w:tc>
          <w:tcPr>
            <w:tcW w:type="dxa" w:w="3456"/>
            <w:vAlign w:val="center"/>
            <w:shd w:fill="EEF2F6"/>
          </w:tcPr>
          <w:p>
            <w:pPr>
              <w:jc w:val="left"/>
            </w:pPr>
            <w:r/>
            <w:r>
              <w:rPr>
                <w:rFonts w:ascii="Aptos" w:hAnsi="Aptos"/>
                <w:b w:val="0"/>
                <w:sz w:val="16"/>
              </w:rPr>
              <w:t>Dividend declared</w:t>
            </w:r>
          </w:p>
        </w:tc>
        <w:tc>
          <w:tcPr>
            <w:tcW w:type="dxa" w:w="3456"/>
            <w:vAlign w:val="center"/>
            <w:shd w:fill="EEF2F6"/>
          </w:tcPr>
          <w:p>
            <w:pPr>
              <w:jc w:val="right"/>
            </w:pPr>
            <w:r/>
            <w:r>
              <w:rPr>
                <w:rFonts w:ascii="Aptos" w:hAnsi="Aptos"/>
                <w:b w:val="0"/>
                <w:sz w:val="16"/>
              </w:rPr>
              <w:t>$0.83 per share</w:t>
            </w:r>
          </w:p>
        </w:tc>
        <w:tc>
          <w:tcPr>
            <w:tcW w:type="dxa" w:w="3456"/>
            <w:vAlign w:val="center"/>
            <w:shd w:fill="EEF2F6"/>
          </w:tcPr>
          <w:p>
            <w:pPr>
              <w:jc w:val="right"/>
            </w:pPr>
            <w:r/>
            <w:r>
              <w:rPr>
                <w:rFonts w:ascii="Aptos" w:hAnsi="Aptos"/>
                <w:b w:val="0"/>
                <w:sz w:val="16"/>
              </w:rPr>
              <w:t>Modest yield; signals recurring capital return</w:t>
            </w:r>
          </w:p>
        </w:tc>
      </w:tr>
      <w:tr>
        <w:tc>
          <w:tcPr>
            <w:tcW w:type="dxa" w:w="3456"/>
            <w:vAlign w:val="center"/>
          </w:tcPr>
          <w:p>
            <w:pPr>
              <w:jc w:val="left"/>
            </w:pPr>
            <w:r/>
            <w:r>
              <w:rPr>
                <w:rFonts w:ascii="Aptos" w:hAnsi="Aptos"/>
                <w:b w:val="0"/>
                <w:sz w:val="16"/>
              </w:rPr>
              <w:t>Cash and marketable securities</w:t>
            </w:r>
          </w:p>
        </w:tc>
        <w:tc>
          <w:tcPr>
            <w:tcW w:type="dxa" w:w="3456"/>
            <w:vAlign w:val="center"/>
          </w:tcPr>
          <w:p>
            <w:pPr>
              <w:jc w:val="right"/>
            </w:pPr>
            <w:r/>
            <w:r>
              <w:rPr>
                <w:rFonts w:ascii="Aptos" w:hAnsi="Aptos"/>
                <w:b w:val="0"/>
                <w:sz w:val="16"/>
              </w:rPr>
              <w:t>$126.8B</w:t>
            </w:r>
          </w:p>
        </w:tc>
        <w:tc>
          <w:tcPr>
            <w:tcW w:type="dxa" w:w="3456"/>
            <w:vAlign w:val="center"/>
          </w:tcPr>
          <w:p>
            <w:pPr>
              <w:jc w:val="right"/>
            </w:pPr>
            <w:r/>
            <w:r>
              <w:rPr>
                <w:rFonts w:ascii="Aptos" w:hAnsi="Aptos"/>
                <w:b w:val="0"/>
                <w:sz w:val="16"/>
              </w:rPr>
              <w:t>Substantial liquidity</w:t>
            </w:r>
          </w:p>
        </w:tc>
      </w:tr>
      <w:tr>
        <w:tc>
          <w:tcPr>
            <w:tcW w:type="dxa" w:w="3456"/>
            <w:vAlign w:val="center"/>
            <w:shd w:fill="EEF2F6"/>
          </w:tcPr>
          <w:p>
            <w:pPr>
              <w:jc w:val="left"/>
            </w:pPr>
            <w:r/>
            <w:r>
              <w:rPr>
                <w:rFonts w:ascii="Aptos" w:hAnsi="Aptos"/>
                <w:b w:val="0"/>
                <w:sz w:val="16"/>
              </w:rPr>
              <w:t>Long-term debt</w:t>
            </w:r>
          </w:p>
        </w:tc>
        <w:tc>
          <w:tcPr>
            <w:tcW w:type="dxa" w:w="3456"/>
            <w:vAlign w:val="center"/>
            <w:shd w:fill="EEF2F6"/>
          </w:tcPr>
          <w:p>
            <w:pPr>
              <w:jc w:val="right"/>
            </w:pPr>
            <w:r/>
            <w:r>
              <w:rPr>
                <w:rFonts w:ascii="Aptos" w:hAnsi="Aptos"/>
                <w:b w:val="0"/>
                <w:sz w:val="16"/>
              </w:rPr>
              <w:t>$46.5B</w:t>
            </w:r>
          </w:p>
        </w:tc>
        <w:tc>
          <w:tcPr>
            <w:tcW w:type="dxa" w:w="3456"/>
            <w:vAlign w:val="center"/>
            <w:shd w:fill="EEF2F6"/>
          </w:tcPr>
          <w:p>
            <w:pPr>
              <w:jc w:val="right"/>
            </w:pPr>
            <w:r/>
            <w:r>
              <w:rPr>
                <w:rFonts w:ascii="Aptos" w:hAnsi="Aptos"/>
                <w:b w:val="0"/>
                <w:sz w:val="16"/>
              </w:rPr>
              <w:t>Manageable relative to cash flow and asset base</w:t>
            </w:r>
          </w:p>
        </w:tc>
      </w:tr>
    </w:tbl>
    <w:p>
      <w:pPr>
        <w:spacing w:after="0"/>
      </w:pPr>
    </w:p>
    <w:p>
      <w:pPr>
        <w:pStyle w:val="Heading2"/>
      </w:pPr>
      <w:r>
        <w:t>Capital-allocation view</w:t>
      </w:r>
    </w:p>
    <w:p>
      <w:r>
        <w:t>The preferred sequence is: fund high-return AI capacity, preserve balance-sheet flexibility, complete strategically coherent acquisitions, and return residual cash through repurchases and dividends. The largest risk is not the absolute capex figure; it is a sustained gap between infrastructure spending and monetizable demand.</w:t>
      </w:r>
    </w:p>
    <w:p>
      <w:r>
        <w:br w:type="page"/>
      </w:r>
    </w:p>
    <w:p>
      <w:pPr>
        <w:pStyle w:val="Heading1"/>
      </w:pPr>
      <w:r>
        <w:t>8. Discounted Cash Flow Valuation</w:t>
      </w:r>
    </w:p>
    <w:p>
      <w:r>
        <w:t>The DCF is presented as a conservative anchor because near-term cash flow is unusually depressed by infrastructure investment. The model uses explicit 2026-2030 free cash flow, a mid-cycle normalization adjustment beyond 2030, and a terminal framework consistent with Alphabet's scale and long-duration competitive position.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18304A"/>
          </w:tcPr>
          <w:p>
            <w:pPr>
              <w:jc w:val="center"/>
            </w:pPr>
            <w:r/>
            <w:r>
              <w:rPr>
                <w:rFonts w:ascii="Aptos" w:hAnsi="Aptos"/>
                <w:b/>
                <w:color w:val="FFFFFF"/>
                <w:sz w:val="16"/>
              </w:rPr>
              <w:t>DCF Assumption</w:t>
            </w:r>
          </w:p>
        </w:tc>
        <w:tc>
          <w:tcPr>
            <w:tcW w:type="dxa" w:w="5184"/>
            <w:vAlign w:val="center"/>
            <w:shd w:fill="18304A"/>
          </w:tcPr>
          <w:p>
            <w:pPr>
              <w:jc w:val="center"/>
            </w:pPr>
            <w:r/>
            <w:r>
              <w:rPr>
                <w:rFonts w:ascii="Aptos" w:hAnsi="Aptos"/>
                <w:b/>
                <w:color w:val="FFFFFF"/>
                <w:sz w:val="16"/>
              </w:rPr>
              <w:t>Base Case</w:t>
            </w:r>
          </w:p>
        </w:tc>
      </w:tr>
      <w:tr>
        <w:tc>
          <w:tcPr>
            <w:tcW w:type="dxa" w:w="5184"/>
            <w:vAlign w:val="center"/>
          </w:tcPr>
          <w:p>
            <w:pPr>
              <w:jc w:val="left"/>
            </w:pPr>
            <w:r/>
            <w:r>
              <w:rPr>
                <w:rFonts w:ascii="Aptos" w:hAnsi="Aptos"/>
                <w:b w:val="0"/>
                <w:sz w:val="16"/>
              </w:rPr>
              <w:t>Valuation date</w:t>
            </w:r>
          </w:p>
        </w:tc>
        <w:tc>
          <w:tcPr>
            <w:tcW w:type="dxa" w:w="5184"/>
            <w:vAlign w:val="center"/>
          </w:tcPr>
          <w:p>
            <w:pPr>
              <w:jc w:val="right"/>
            </w:pPr>
            <w:r/>
            <w:r>
              <w:rPr>
                <w:rFonts w:ascii="Aptos" w:hAnsi="Aptos"/>
                <w:b w:val="0"/>
                <w:sz w:val="16"/>
              </w:rPr>
              <w:t>March 12, 2026</w:t>
            </w:r>
          </w:p>
        </w:tc>
      </w:tr>
      <w:tr>
        <w:tc>
          <w:tcPr>
            <w:tcW w:type="dxa" w:w="5184"/>
            <w:vAlign w:val="center"/>
            <w:shd w:fill="EEF2F6"/>
          </w:tcPr>
          <w:p>
            <w:pPr>
              <w:jc w:val="left"/>
            </w:pPr>
            <w:r/>
            <w:r>
              <w:rPr>
                <w:rFonts w:ascii="Aptos" w:hAnsi="Aptos"/>
                <w:b w:val="0"/>
                <w:sz w:val="16"/>
              </w:rPr>
              <w:t>Explicit forecast period</w:t>
            </w:r>
          </w:p>
        </w:tc>
        <w:tc>
          <w:tcPr>
            <w:tcW w:type="dxa" w:w="5184"/>
            <w:vAlign w:val="center"/>
            <w:shd w:fill="EEF2F6"/>
          </w:tcPr>
          <w:p>
            <w:pPr>
              <w:jc w:val="right"/>
            </w:pPr>
            <w:r/>
            <w:r>
              <w:rPr>
                <w:rFonts w:ascii="Aptos" w:hAnsi="Aptos"/>
                <w:b w:val="0"/>
                <w:sz w:val="16"/>
              </w:rPr>
              <w:t>2026-2030</w:t>
            </w:r>
          </w:p>
        </w:tc>
      </w:tr>
      <w:tr>
        <w:tc>
          <w:tcPr>
            <w:tcW w:type="dxa" w:w="5184"/>
            <w:vAlign w:val="center"/>
          </w:tcPr>
          <w:p>
            <w:pPr>
              <w:jc w:val="left"/>
            </w:pPr>
            <w:r/>
            <w:r>
              <w:rPr>
                <w:rFonts w:ascii="Aptos" w:hAnsi="Aptos"/>
                <w:b w:val="0"/>
                <w:sz w:val="16"/>
              </w:rPr>
              <w:t>2026 free cash flow</w:t>
            </w:r>
          </w:p>
        </w:tc>
        <w:tc>
          <w:tcPr>
            <w:tcW w:type="dxa" w:w="5184"/>
            <w:vAlign w:val="center"/>
          </w:tcPr>
          <w:p>
            <w:pPr>
              <w:jc w:val="right"/>
            </w:pPr>
            <w:r/>
            <w:r>
              <w:rPr>
                <w:rFonts w:ascii="Aptos" w:hAnsi="Aptos"/>
                <w:b w:val="0"/>
                <w:sz w:val="16"/>
              </w:rPr>
              <w:t>$48B</w:t>
            </w:r>
          </w:p>
        </w:tc>
      </w:tr>
      <w:tr>
        <w:tc>
          <w:tcPr>
            <w:tcW w:type="dxa" w:w="5184"/>
            <w:vAlign w:val="center"/>
            <w:shd w:fill="EEF2F6"/>
          </w:tcPr>
          <w:p>
            <w:pPr>
              <w:jc w:val="left"/>
            </w:pPr>
            <w:r/>
            <w:r>
              <w:rPr>
                <w:rFonts w:ascii="Aptos" w:hAnsi="Aptos"/>
                <w:b w:val="0"/>
                <w:sz w:val="16"/>
              </w:rPr>
              <w:t>2030 free cash flow</w:t>
            </w:r>
          </w:p>
        </w:tc>
        <w:tc>
          <w:tcPr>
            <w:tcW w:type="dxa" w:w="5184"/>
            <w:vAlign w:val="center"/>
            <w:shd w:fill="EEF2F6"/>
          </w:tcPr>
          <w:p>
            <w:pPr>
              <w:jc w:val="right"/>
            </w:pPr>
            <w:r/>
            <w:r>
              <w:rPr>
                <w:rFonts w:ascii="Aptos" w:hAnsi="Aptos"/>
                <w:b w:val="0"/>
                <w:sz w:val="16"/>
              </w:rPr>
              <w:t>$194B</w:t>
            </w:r>
          </w:p>
        </w:tc>
      </w:tr>
      <w:tr>
        <w:tc>
          <w:tcPr>
            <w:tcW w:type="dxa" w:w="5184"/>
            <w:vAlign w:val="center"/>
          </w:tcPr>
          <w:p>
            <w:pPr>
              <w:jc w:val="left"/>
            </w:pPr>
            <w:r/>
            <w:r>
              <w:rPr>
                <w:rFonts w:ascii="Aptos" w:hAnsi="Aptos"/>
                <w:b w:val="0"/>
                <w:sz w:val="16"/>
              </w:rPr>
              <w:t>WACC</w:t>
            </w:r>
          </w:p>
        </w:tc>
        <w:tc>
          <w:tcPr>
            <w:tcW w:type="dxa" w:w="5184"/>
            <w:vAlign w:val="center"/>
          </w:tcPr>
          <w:p>
            <w:pPr>
              <w:jc w:val="right"/>
            </w:pPr>
            <w:r/>
            <w:r>
              <w:rPr>
                <w:rFonts w:ascii="Aptos" w:hAnsi="Aptos"/>
                <w:b w:val="0"/>
                <w:sz w:val="16"/>
              </w:rPr>
              <w:t>7.8%</w:t>
            </w:r>
          </w:p>
        </w:tc>
      </w:tr>
      <w:tr>
        <w:tc>
          <w:tcPr>
            <w:tcW w:type="dxa" w:w="5184"/>
            <w:vAlign w:val="center"/>
            <w:shd w:fill="EEF2F6"/>
          </w:tcPr>
          <w:p>
            <w:pPr>
              <w:jc w:val="left"/>
            </w:pPr>
            <w:r/>
            <w:r>
              <w:rPr>
                <w:rFonts w:ascii="Aptos" w:hAnsi="Aptos"/>
                <w:b w:val="0"/>
                <w:sz w:val="16"/>
              </w:rPr>
              <w:t>Terminal growth</w:t>
            </w:r>
          </w:p>
        </w:tc>
        <w:tc>
          <w:tcPr>
            <w:tcW w:type="dxa" w:w="5184"/>
            <w:vAlign w:val="center"/>
            <w:shd w:fill="EEF2F6"/>
          </w:tcPr>
          <w:p>
            <w:pPr>
              <w:jc w:val="right"/>
            </w:pPr>
            <w:r/>
            <w:r>
              <w:rPr>
                <w:rFonts w:ascii="Aptos" w:hAnsi="Aptos"/>
                <w:b w:val="0"/>
                <w:sz w:val="16"/>
              </w:rPr>
              <w:t>3.5%</w:t>
            </w:r>
          </w:p>
        </w:tc>
      </w:tr>
      <w:tr>
        <w:tc>
          <w:tcPr>
            <w:tcW w:type="dxa" w:w="5184"/>
            <w:vAlign w:val="center"/>
          </w:tcPr>
          <w:p>
            <w:pPr>
              <w:jc w:val="left"/>
            </w:pPr>
            <w:r/>
            <w:r>
              <w:rPr>
                <w:rFonts w:ascii="Aptos" w:hAnsi="Aptos"/>
                <w:b w:val="0"/>
                <w:sz w:val="16"/>
              </w:rPr>
              <w:t>Net cash / investments adjustment</w:t>
            </w:r>
          </w:p>
        </w:tc>
        <w:tc>
          <w:tcPr>
            <w:tcW w:type="dxa" w:w="5184"/>
            <w:vAlign w:val="center"/>
          </w:tcPr>
          <w:p>
            <w:pPr>
              <w:jc w:val="right"/>
            </w:pPr>
            <w:r/>
            <w:r>
              <w:rPr>
                <w:rFonts w:ascii="Aptos" w:hAnsi="Aptos"/>
                <w:b w:val="0"/>
                <w:sz w:val="16"/>
              </w:rPr>
              <w:t>Included</w:t>
            </w:r>
          </w:p>
        </w:tc>
      </w:tr>
      <w:tr>
        <w:tc>
          <w:tcPr>
            <w:tcW w:type="dxa" w:w="5184"/>
            <w:vAlign w:val="center"/>
            <w:shd w:fill="EEF2F6"/>
          </w:tcPr>
          <w:p>
            <w:pPr>
              <w:jc w:val="left"/>
            </w:pPr>
            <w:r/>
            <w:r>
              <w:rPr>
                <w:rFonts w:ascii="Aptos" w:hAnsi="Aptos"/>
                <w:b w:val="0"/>
                <w:sz w:val="16"/>
              </w:rPr>
              <w:t>Diluted share base</w:t>
            </w:r>
          </w:p>
        </w:tc>
        <w:tc>
          <w:tcPr>
            <w:tcW w:type="dxa" w:w="5184"/>
            <w:vAlign w:val="center"/>
            <w:shd w:fill="EEF2F6"/>
          </w:tcPr>
          <w:p>
            <w:pPr>
              <w:jc w:val="right"/>
            </w:pPr>
            <w:r/>
            <w:r>
              <w:rPr>
                <w:rFonts w:ascii="Aptos" w:hAnsi="Aptos"/>
                <w:b w:val="0"/>
                <w:sz w:val="16"/>
              </w:rPr>
              <w:t>Approximately 12.1B total classes</w:t>
            </w:r>
          </w:p>
        </w:tc>
      </w:tr>
      <w:tr>
        <w:tc>
          <w:tcPr>
            <w:tcW w:type="dxa" w:w="5184"/>
            <w:vAlign w:val="center"/>
          </w:tcPr>
          <w:p>
            <w:pPr>
              <w:jc w:val="left"/>
            </w:pPr>
            <w:r/>
            <w:r>
              <w:rPr>
                <w:rFonts w:ascii="Aptos" w:hAnsi="Aptos"/>
                <w:b w:val="0"/>
                <w:sz w:val="16"/>
              </w:rPr>
              <w:t>Implied value per share</w:t>
            </w:r>
          </w:p>
        </w:tc>
        <w:tc>
          <w:tcPr>
            <w:tcW w:type="dxa" w:w="5184"/>
            <w:vAlign w:val="center"/>
          </w:tcPr>
          <w:p>
            <w:pPr>
              <w:jc w:val="right"/>
            </w:pPr>
            <w:r/>
            <w:r>
              <w:rPr>
                <w:rFonts w:ascii="Aptos" w:hAnsi="Aptos"/>
                <w:b w:val="0"/>
                <w:sz w:val="16"/>
              </w:rPr>
              <w:t>$305</w:t>
            </w:r>
          </w:p>
        </w:tc>
      </w:tr>
    </w:tbl>
    <w:p>
      <w:pPr>
        <w:spacing w:after="0"/>
      </w:pP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18304A"/>
          </w:tcPr>
          <w:p>
            <w:pPr>
              <w:jc w:val="center"/>
            </w:pPr>
            <w:r/>
            <w:r>
              <w:rPr>
                <w:rFonts w:ascii="Aptos" w:hAnsi="Aptos"/>
                <w:b/>
                <w:color w:val="FFFFFF"/>
                <w:sz w:val="15"/>
              </w:rPr>
              <w:t>Terminal Growth / WACC</w:t>
            </w:r>
          </w:p>
        </w:tc>
        <w:tc>
          <w:tcPr>
            <w:tcW w:type="dxa" w:w="1728"/>
            <w:vAlign w:val="center"/>
            <w:shd w:fill="18304A"/>
          </w:tcPr>
          <w:p>
            <w:pPr>
              <w:jc w:val="center"/>
            </w:pPr>
            <w:r/>
            <w:r>
              <w:rPr>
                <w:rFonts w:ascii="Aptos" w:hAnsi="Aptos"/>
                <w:b/>
                <w:color w:val="FFFFFF"/>
                <w:sz w:val="15"/>
              </w:rPr>
              <w:t>7.2%</w:t>
            </w:r>
          </w:p>
        </w:tc>
        <w:tc>
          <w:tcPr>
            <w:tcW w:type="dxa" w:w="1728"/>
            <w:vAlign w:val="center"/>
            <w:shd w:fill="18304A"/>
          </w:tcPr>
          <w:p>
            <w:pPr>
              <w:jc w:val="center"/>
            </w:pPr>
            <w:r/>
            <w:r>
              <w:rPr>
                <w:rFonts w:ascii="Aptos" w:hAnsi="Aptos"/>
                <w:b/>
                <w:color w:val="FFFFFF"/>
                <w:sz w:val="15"/>
              </w:rPr>
              <w:t>7.5%</w:t>
            </w:r>
          </w:p>
        </w:tc>
        <w:tc>
          <w:tcPr>
            <w:tcW w:type="dxa" w:w="1728"/>
            <w:vAlign w:val="center"/>
            <w:shd w:fill="18304A"/>
          </w:tcPr>
          <w:p>
            <w:pPr>
              <w:jc w:val="center"/>
            </w:pPr>
            <w:r/>
            <w:r>
              <w:rPr>
                <w:rFonts w:ascii="Aptos" w:hAnsi="Aptos"/>
                <w:b/>
                <w:color w:val="FFFFFF"/>
                <w:sz w:val="15"/>
              </w:rPr>
              <w:t>7.8%</w:t>
            </w:r>
          </w:p>
        </w:tc>
        <w:tc>
          <w:tcPr>
            <w:tcW w:type="dxa" w:w="1728"/>
            <w:vAlign w:val="center"/>
            <w:shd w:fill="18304A"/>
          </w:tcPr>
          <w:p>
            <w:pPr>
              <w:jc w:val="center"/>
            </w:pPr>
            <w:r/>
            <w:r>
              <w:rPr>
                <w:rFonts w:ascii="Aptos" w:hAnsi="Aptos"/>
                <w:b/>
                <w:color w:val="FFFFFF"/>
                <w:sz w:val="15"/>
              </w:rPr>
              <w:t>8.1%</w:t>
            </w:r>
          </w:p>
        </w:tc>
        <w:tc>
          <w:tcPr>
            <w:tcW w:type="dxa" w:w="1728"/>
            <w:vAlign w:val="center"/>
            <w:shd w:fill="18304A"/>
          </w:tcPr>
          <w:p>
            <w:pPr>
              <w:jc w:val="center"/>
            </w:pPr>
            <w:r/>
            <w:r>
              <w:rPr>
                <w:rFonts w:ascii="Aptos" w:hAnsi="Aptos"/>
                <w:b/>
                <w:color w:val="FFFFFF"/>
                <w:sz w:val="15"/>
              </w:rPr>
              <w:t>8.4%</w:t>
            </w:r>
          </w:p>
        </w:tc>
      </w:tr>
      <w:tr>
        <w:tc>
          <w:tcPr>
            <w:tcW w:type="dxa" w:w="1728"/>
            <w:vAlign w:val="center"/>
          </w:tcPr>
          <w:p>
            <w:pPr>
              <w:jc w:val="left"/>
            </w:pPr>
            <w:r/>
            <w:r>
              <w:rPr>
                <w:rFonts w:ascii="Aptos" w:hAnsi="Aptos"/>
                <w:b w:val="0"/>
                <w:sz w:val="15"/>
              </w:rPr>
              <w:t>2.8%</w:t>
            </w:r>
          </w:p>
        </w:tc>
        <w:tc>
          <w:tcPr>
            <w:tcW w:type="dxa" w:w="1728"/>
            <w:vAlign w:val="center"/>
          </w:tcPr>
          <w:p>
            <w:pPr>
              <w:jc w:val="right"/>
            </w:pPr>
            <w:r/>
            <w:r>
              <w:rPr>
                <w:rFonts w:ascii="Aptos" w:hAnsi="Aptos"/>
                <w:b w:val="0"/>
                <w:sz w:val="15"/>
              </w:rPr>
              <w:t>$293</w:t>
            </w:r>
          </w:p>
        </w:tc>
        <w:tc>
          <w:tcPr>
            <w:tcW w:type="dxa" w:w="1728"/>
            <w:vAlign w:val="center"/>
          </w:tcPr>
          <w:p>
            <w:pPr>
              <w:jc w:val="right"/>
            </w:pPr>
            <w:r/>
            <w:r>
              <w:rPr>
                <w:rFonts w:ascii="Aptos" w:hAnsi="Aptos"/>
                <w:b w:val="0"/>
                <w:sz w:val="15"/>
              </w:rPr>
              <w:t>$282</w:t>
            </w:r>
          </w:p>
        </w:tc>
        <w:tc>
          <w:tcPr>
            <w:tcW w:type="dxa" w:w="1728"/>
            <w:vAlign w:val="center"/>
          </w:tcPr>
          <w:p>
            <w:pPr>
              <w:jc w:val="right"/>
            </w:pPr>
            <w:r/>
            <w:r>
              <w:rPr>
                <w:rFonts w:ascii="Aptos" w:hAnsi="Aptos"/>
                <w:b w:val="0"/>
                <w:sz w:val="15"/>
              </w:rPr>
              <w:t>$271</w:t>
            </w:r>
          </w:p>
        </w:tc>
        <w:tc>
          <w:tcPr>
            <w:tcW w:type="dxa" w:w="1728"/>
            <w:vAlign w:val="center"/>
          </w:tcPr>
          <w:p>
            <w:pPr>
              <w:jc w:val="right"/>
            </w:pPr>
            <w:r/>
            <w:r>
              <w:rPr>
                <w:rFonts w:ascii="Aptos" w:hAnsi="Aptos"/>
                <w:b w:val="0"/>
                <w:sz w:val="15"/>
              </w:rPr>
              <w:t>$260</w:t>
            </w:r>
          </w:p>
        </w:tc>
        <w:tc>
          <w:tcPr>
            <w:tcW w:type="dxa" w:w="1728"/>
            <w:vAlign w:val="center"/>
          </w:tcPr>
          <w:p>
            <w:pPr>
              <w:jc w:val="right"/>
            </w:pPr>
            <w:r/>
            <w:r>
              <w:rPr>
                <w:rFonts w:ascii="Aptos" w:hAnsi="Aptos"/>
                <w:b w:val="0"/>
                <w:sz w:val="15"/>
              </w:rPr>
              <w:t>$249</w:t>
            </w:r>
          </w:p>
        </w:tc>
      </w:tr>
      <w:tr>
        <w:tc>
          <w:tcPr>
            <w:tcW w:type="dxa" w:w="1728"/>
            <w:vAlign w:val="center"/>
            <w:shd w:fill="EEF2F6"/>
          </w:tcPr>
          <w:p>
            <w:pPr>
              <w:jc w:val="left"/>
            </w:pPr>
            <w:r/>
            <w:r>
              <w:rPr>
                <w:rFonts w:ascii="Aptos" w:hAnsi="Aptos"/>
                <w:b w:val="0"/>
                <w:sz w:val="15"/>
              </w:rPr>
              <w:t>3.1%</w:t>
            </w:r>
          </w:p>
        </w:tc>
        <w:tc>
          <w:tcPr>
            <w:tcW w:type="dxa" w:w="1728"/>
            <w:vAlign w:val="center"/>
            <w:shd w:fill="EEF2F6"/>
          </w:tcPr>
          <w:p>
            <w:pPr>
              <w:jc w:val="right"/>
            </w:pPr>
            <w:r/>
            <w:r>
              <w:rPr>
                <w:rFonts w:ascii="Aptos" w:hAnsi="Aptos"/>
                <w:b w:val="0"/>
                <w:sz w:val="15"/>
              </w:rPr>
              <w:t>$307</w:t>
            </w:r>
          </w:p>
        </w:tc>
        <w:tc>
          <w:tcPr>
            <w:tcW w:type="dxa" w:w="1728"/>
            <w:vAlign w:val="center"/>
            <w:shd w:fill="EEF2F6"/>
          </w:tcPr>
          <w:p>
            <w:pPr>
              <w:jc w:val="right"/>
            </w:pPr>
            <w:r/>
            <w:r>
              <w:rPr>
                <w:rFonts w:ascii="Aptos" w:hAnsi="Aptos"/>
                <w:b w:val="0"/>
                <w:sz w:val="15"/>
              </w:rPr>
              <w:t>$296</w:t>
            </w:r>
          </w:p>
        </w:tc>
        <w:tc>
          <w:tcPr>
            <w:tcW w:type="dxa" w:w="1728"/>
            <w:vAlign w:val="center"/>
            <w:shd w:fill="EEF2F6"/>
          </w:tcPr>
          <w:p>
            <w:pPr>
              <w:jc w:val="right"/>
            </w:pPr>
            <w:r/>
            <w:r>
              <w:rPr>
                <w:rFonts w:ascii="Aptos" w:hAnsi="Aptos"/>
                <w:b w:val="0"/>
                <w:sz w:val="15"/>
              </w:rPr>
              <w:t>$285</w:t>
            </w:r>
          </w:p>
        </w:tc>
        <w:tc>
          <w:tcPr>
            <w:tcW w:type="dxa" w:w="1728"/>
            <w:vAlign w:val="center"/>
            <w:shd w:fill="EEF2F6"/>
          </w:tcPr>
          <w:p>
            <w:pPr>
              <w:jc w:val="right"/>
            </w:pPr>
            <w:r/>
            <w:r>
              <w:rPr>
                <w:rFonts w:ascii="Aptos" w:hAnsi="Aptos"/>
                <w:b w:val="0"/>
                <w:sz w:val="15"/>
              </w:rPr>
              <w:t>$275</w:t>
            </w:r>
          </w:p>
        </w:tc>
        <w:tc>
          <w:tcPr>
            <w:tcW w:type="dxa" w:w="1728"/>
            <w:vAlign w:val="center"/>
            <w:shd w:fill="EEF2F6"/>
          </w:tcPr>
          <w:p>
            <w:pPr>
              <w:jc w:val="right"/>
            </w:pPr>
            <w:r/>
            <w:r>
              <w:rPr>
                <w:rFonts w:ascii="Aptos" w:hAnsi="Aptos"/>
                <w:b w:val="0"/>
                <w:sz w:val="15"/>
              </w:rPr>
              <w:t>$264</w:t>
            </w:r>
          </w:p>
        </w:tc>
      </w:tr>
      <w:tr>
        <w:tc>
          <w:tcPr>
            <w:tcW w:type="dxa" w:w="1728"/>
            <w:vAlign w:val="center"/>
          </w:tcPr>
          <w:p>
            <w:pPr>
              <w:jc w:val="left"/>
            </w:pPr>
            <w:r/>
            <w:r>
              <w:rPr>
                <w:rFonts w:ascii="Aptos" w:hAnsi="Aptos"/>
                <w:b w:val="0"/>
                <w:sz w:val="15"/>
              </w:rPr>
              <w:t>3.5%</w:t>
            </w:r>
          </w:p>
        </w:tc>
        <w:tc>
          <w:tcPr>
            <w:tcW w:type="dxa" w:w="1728"/>
            <w:vAlign w:val="center"/>
          </w:tcPr>
          <w:p>
            <w:pPr>
              <w:jc w:val="right"/>
            </w:pPr>
            <w:r/>
            <w:r>
              <w:rPr>
                <w:rFonts w:ascii="Aptos" w:hAnsi="Aptos"/>
                <w:b w:val="0"/>
                <w:sz w:val="15"/>
              </w:rPr>
              <w:t>$327</w:t>
            </w:r>
          </w:p>
        </w:tc>
        <w:tc>
          <w:tcPr>
            <w:tcW w:type="dxa" w:w="1728"/>
            <w:vAlign w:val="center"/>
          </w:tcPr>
          <w:p>
            <w:pPr>
              <w:jc w:val="right"/>
            </w:pPr>
            <w:r/>
            <w:r>
              <w:rPr>
                <w:rFonts w:ascii="Aptos" w:hAnsi="Aptos"/>
                <w:b w:val="0"/>
                <w:sz w:val="15"/>
              </w:rPr>
              <w:t>$316</w:t>
            </w:r>
          </w:p>
        </w:tc>
        <w:tc>
          <w:tcPr>
            <w:tcW w:type="dxa" w:w="1728"/>
            <w:vAlign w:val="center"/>
          </w:tcPr>
          <w:p>
            <w:pPr>
              <w:jc w:val="right"/>
            </w:pPr>
            <w:r/>
            <w:r>
              <w:rPr>
                <w:rFonts w:ascii="Aptos" w:hAnsi="Aptos"/>
                <w:b w:val="0"/>
                <w:sz w:val="15"/>
              </w:rPr>
              <w:t>$305</w:t>
            </w:r>
          </w:p>
        </w:tc>
        <w:tc>
          <w:tcPr>
            <w:tcW w:type="dxa" w:w="1728"/>
            <w:vAlign w:val="center"/>
          </w:tcPr>
          <w:p>
            <w:pPr>
              <w:jc w:val="right"/>
            </w:pPr>
            <w:r/>
            <w:r>
              <w:rPr>
                <w:rFonts w:ascii="Aptos" w:hAnsi="Aptos"/>
                <w:b w:val="0"/>
                <w:sz w:val="15"/>
              </w:rPr>
              <w:t>$294</w:t>
            </w:r>
          </w:p>
        </w:tc>
        <w:tc>
          <w:tcPr>
            <w:tcW w:type="dxa" w:w="1728"/>
            <w:vAlign w:val="center"/>
          </w:tcPr>
          <w:p>
            <w:pPr>
              <w:jc w:val="right"/>
            </w:pPr>
            <w:r/>
            <w:r>
              <w:rPr>
                <w:rFonts w:ascii="Aptos" w:hAnsi="Aptos"/>
                <w:b w:val="0"/>
                <w:sz w:val="15"/>
              </w:rPr>
              <w:t>$283</w:t>
            </w:r>
          </w:p>
        </w:tc>
      </w:tr>
      <w:tr>
        <w:tc>
          <w:tcPr>
            <w:tcW w:type="dxa" w:w="1728"/>
            <w:vAlign w:val="center"/>
            <w:shd w:fill="EEF2F6"/>
          </w:tcPr>
          <w:p>
            <w:pPr>
              <w:jc w:val="left"/>
            </w:pPr>
            <w:r/>
            <w:r>
              <w:rPr>
                <w:rFonts w:ascii="Aptos" w:hAnsi="Aptos"/>
                <w:b w:val="0"/>
                <w:sz w:val="15"/>
              </w:rPr>
              <w:t>3.8%</w:t>
            </w:r>
          </w:p>
        </w:tc>
        <w:tc>
          <w:tcPr>
            <w:tcW w:type="dxa" w:w="1728"/>
            <w:vAlign w:val="center"/>
            <w:shd w:fill="EEF2F6"/>
          </w:tcPr>
          <w:p>
            <w:pPr>
              <w:jc w:val="right"/>
            </w:pPr>
            <w:r/>
            <w:r>
              <w:rPr>
                <w:rFonts w:ascii="Aptos" w:hAnsi="Aptos"/>
                <w:b w:val="0"/>
                <w:sz w:val="15"/>
              </w:rPr>
              <w:t>$342</w:t>
            </w:r>
          </w:p>
        </w:tc>
        <w:tc>
          <w:tcPr>
            <w:tcW w:type="dxa" w:w="1728"/>
            <w:vAlign w:val="center"/>
            <w:shd w:fill="EEF2F6"/>
          </w:tcPr>
          <w:p>
            <w:pPr>
              <w:jc w:val="right"/>
            </w:pPr>
            <w:r/>
            <w:r>
              <w:rPr>
                <w:rFonts w:ascii="Aptos" w:hAnsi="Aptos"/>
                <w:b w:val="0"/>
                <w:sz w:val="15"/>
              </w:rPr>
              <w:t>$331</w:t>
            </w:r>
          </w:p>
        </w:tc>
        <w:tc>
          <w:tcPr>
            <w:tcW w:type="dxa" w:w="1728"/>
            <w:vAlign w:val="center"/>
            <w:shd w:fill="EEF2F6"/>
          </w:tcPr>
          <w:p>
            <w:pPr>
              <w:jc w:val="right"/>
            </w:pPr>
            <w:r/>
            <w:r>
              <w:rPr>
                <w:rFonts w:ascii="Aptos" w:hAnsi="Aptos"/>
                <w:b w:val="0"/>
                <w:sz w:val="15"/>
              </w:rPr>
              <w:t>$320</w:t>
            </w:r>
          </w:p>
        </w:tc>
        <w:tc>
          <w:tcPr>
            <w:tcW w:type="dxa" w:w="1728"/>
            <w:vAlign w:val="center"/>
            <w:shd w:fill="EEF2F6"/>
          </w:tcPr>
          <w:p>
            <w:pPr>
              <w:jc w:val="right"/>
            </w:pPr>
            <w:r/>
            <w:r>
              <w:rPr>
                <w:rFonts w:ascii="Aptos" w:hAnsi="Aptos"/>
                <w:b w:val="0"/>
                <w:sz w:val="15"/>
              </w:rPr>
              <w:t>$309</w:t>
            </w:r>
          </w:p>
        </w:tc>
        <w:tc>
          <w:tcPr>
            <w:tcW w:type="dxa" w:w="1728"/>
            <w:vAlign w:val="center"/>
            <w:shd w:fill="EEF2F6"/>
          </w:tcPr>
          <w:p>
            <w:pPr>
              <w:jc w:val="right"/>
            </w:pPr>
            <w:r/>
            <w:r>
              <w:rPr>
                <w:rFonts w:ascii="Aptos" w:hAnsi="Aptos"/>
                <w:b w:val="0"/>
                <w:sz w:val="15"/>
              </w:rPr>
              <w:t>$298</w:t>
            </w:r>
          </w:p>
        </w:tc>
      </w:tr>
      <w:tr>
        <w:tc>
          <w:tcPr>
            <w:tcW w:type="dxa" w:w="1728"/>
            <w:vAlign w:val="center"/>
          </w:tcPr>
          <w:p>
            <w:pPr>
              <w:jc w:val="left"/>
            </w:pPr>
            <w:r/>
            <w:r>
              <w:rPr>
                <w:rFonts w:ascii="Aptos" w:hAnsi="Aptos"/>
                <w:b w:val="0"/>
                <w:sz w:val="15"/>
              </w:rPr>
              <w:t>4.1%</w:t>
            </w:r>
          </w:p>
        </w:tc>
        <w:tc>
          <w:tcPr>
            <w:tcW w:type="dxa" w:w="1728"/>
            <w:vAlign w:val="center"/>
          </w:tcPr>
          <w:p>
            <w:pPr>
              <w:jc w:val="right"/>
            </w:pPr>
            <w:r/>
            <w:r>
              <w:rPr>
                <w:rFonts w:ascii="Aptos" w:hAnsi="Aptos"/>
                <w:b w:val="0"/>
                <w:sz w:val="15"/>
              </w:rPr>
              <w:t>$356</w:t>
            </w:r>
          </w:p>
        </w:tc>
        <w:tc>
          <w:tcPr>
            <w:tcW w:type="dxa" w:w="1728"/>
            <w:vAlign w:val="center"/>
          </w:tcPr>
          <w:p>
            <w:pPr>
              <w:jc w:val="right"/>
            </w:pPr>
            <w:r/>
            <w:r>
              <w:rPr>
                <w:rFonts w:ascii="Aptos" w:hAnsi="Aptos"/>
                <w:b w:val="0"/>
                <w:sz w:val="15"/>
              </w:rPr>
              <w:t>$345</w:t>
            </w:r>
          </w:p>
        </w:tc>
        <w:tc>
          <w:tcPr>
            <w:tcW w:type="dxa" w:w="1728"/>
            <w:vAlign w:val="center"/>
          </w:tcPr>
          <w:p>
            <w:pPr>
              <w:jc w:val="right"/>
            </w:pPr>
            <w:r/>
            <w:r>
              <w:rPr>
                <w:rFonts w:ascii="Aptos" w:hAnsi="Aptos"/>
                <w:b w:val="0"/>
                <w:sz w:val="15"/>
              </w:rPr>
              <w:t>$334</w:t>
            </w:r>
          </w:p>
        </w:tc>
        <w:tc>
          <w:tcPr>
            <w:tcW w:type="dxa" w:w="1728"/>
            <w:vAlign w:val="center"/>
          </w:tcPr>
          <w:p>
            <w:pPr>
              <w:jc w:val="right"/>
            </w:pPr>
            <w:r/>
            <w:r>
              <w:rPr>
                <w:rFonts w:ascii="Aptos" w:hAnsi="Aptos"/>
                <w:b w:val="0"/>
                <w:sz w:val="15"/>
              </w:rPr>
              <w:t>$323</w:t>
            </w:r>
          </w:p>
        </w:tc>
        <w:tc>
          <w:tcPr>
            <w:tcW w:type="dxa" w:w="1728"/>
            <w:vAlign w:val="center"/>
          </w:tcPr>
          <w:p>
            <w:pPr>
              <w:jc w:val="right"/>
            </w:pPr>
            <w:r/>
            <w:r>
              <w:rPr>
                <w:rFonts w:ascii="Aptos" w:hAnsi="Aptos"/>
                <w:b w:val="0"/>
                <w:sz w:val="15"/>
              </w:rPr>
              <w:t>$312</w:t>
            </w:r>
          </w:p>
        </w:tc>
      </w:tr>
    </w:tbl>
    <w:p>
      <w:pPr>
        <w:spacing w:after="0"/>
      </w:pPr>
    </w:p>
    <w:p>
      <w:r>
        <w:t>Interpretation: the DCF alone does not create the BUY rating. It provides downside discipline. The blended target incorporates the higher earnings-based value implied by recovering free cash flow and Cloud mix.</w:t>
      </w:r>
    </w:p>
    <w:p>
      <w:r>
        <w:br w:type="page"/>
      </w:r>
    </w:p>
    <w:p>
      <w:pPr>
        <w:pStyle w:val="Heading1"/>
      </w:pPr>
      <w:r>
        <w:t>9. Comparable-Company Valuation</w:t>
      </w:r>
    </w:p>
    <w:p>
      <w:r>
        <w:t>Public-company comparables are used as a reasonableness check rather than a mechanical answer. Alphabet combines advertising, cloud, software, devices, and venture-like assets, so no single peer is directly comparable.</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18304A"/>
          </w:tcPr>
          <w:p>
            <w:pPr>
              <w:jc w:val="center"/>
            </w:pPr>
            <w:r/>
            <w:r>
              <w:rPr>
                <w:rFonts w:ascii="Aptos" w:hAnsi="Aptos"/>
                <w:b/>
                <w:color w:val="FFFFFF"/>
                <w:sz w:val="16"/>
              </w:rPr>
              <w:t>Peer</w:t>
            </w:r>
          </w:p>
        </w:tc>
        <w:tc>
          <w:tcPr>
            <w:tcW w:type="dxa" w:w="3456"/>
            <w:vAlign w:val="center"/>
            <w:shd w:fill="18304A"/>
          </w:tcPr>
          <w:p>
            <w:pPr>
              <w:jc w:val="center"/>
            </w:pPr>
            <w:r/>
            <w:r>
              <w:rPr>
                <w:rFonts w:ascii="Aptos" w:hAnsi="Aptos"/>
                <w:b/>
                <w:color w:val="FFFFFF"/>
                <w:sz w:val="16"/>
              </w:rPr>
              <w:t>Relevant Comparison</w:t>
            </w:r>
          </w:p>
        </w:tc>
        <w:tc>
          <w:tcPr>
            <w:tcW w:type="dxa" w:w="3456"/>
            <w:vAlign w:val="center"/>
            <w:shd w:fill="18304A"/>
          </w:tcPr>
          <w:p>
            <w:pPr>
              <w:jc w:val="center"/>
            </w:pPr>
            <w:r/>
            <w:r>
              <w:rPr>
                <w:rFonts w:ascii="Aptos" w:hAnsi="Aptos"/>
                <w:b/>
                <w:color w:val="FFFFFF"/>
                <w:sz w:val="16"/>
              </w:rPr>
              <w:t>Why It Matters</w:t>
            </w:r>
          </w:p>
        </w:tc>
      </w:tr>
      <w:tr>
        <w:tc>
          <w:tcPr>
            <w:tcW w:type="dxa" w:w="3456"/>
            <w:vAlign w:val="center"/>
          </w:tcPr>
          <w:p>
            <w:pPr>
              <w:jc w:val="left"/>
            </w:pPr>
            <w:r/>
            <w:r>
              <w:rPr>
                <w:rFonts w:ascii="Aptos" w:hAnsi="Aptos"/>
                <w:b w:val="0"/>
                <w:sz w:val="16"/>
              </w:rPr>
              <w:t>Microsoft</w:t>
            </w:r>
          </w:p>
        </w:tc>
        <w:tc>
          <w:tcPr>
            <w:tcW w:type="dxa" w:w="3456"/>
            <w:vAlign w:val="center"/>
          </w:tcPr>
          <w:p>
            <w:pPr>
              <w:jc w:val="right"/>
            </w:pPr>
            <w:r/>
            <w:r>
              <w:rPr>
                <w:rFonts w:ascii="Aptos" w:hAnsi="Aptos"/>
                <w:b w:val="0"/>
                <w:sz w:val="16"/>
              </w:rPr>
              <w:t>Cloud, enterprise software, AI distribution</w:t>
            </w:r>
          </w:p>
        </w:tc>
        <w:tc>
          <w:tcPr>
            <w:tcW w:type="dxa" w:w="3456"/>
            <w:vAlign w:val="center"/>
          </w:tcPr>
          <w:p>
            <w:pPr>
              <w:jc w:val="right"/>
            </w:pPr>
            <w:r/>
            <w:r>
              <w:rPr>
                <w:rFonts w:ascii="Aptos" w:hAnsi="Aptos"/>
                <w:b w:val="0"/>
                <w:sz w:val="16"/>
              </w:rPr>
              <w:t>Premium multiple for recurring enterprise revenue and AI monetization</w:t>
            </w:r>
          </w:p>
        </w:tc>
      </w:tr>
      <w:tr>
        <w:tc>
          <w:tcPr>
            <w:tcW w:type="dxa" w:w="3456"/>
            <w:vAlign w:val="center"/>
            <w:shd w:fill="EEF2F6"/>
          </w:tcPr>
          <w:p>
            <w:pPr>
              <w:jc w:val="left"/>
            </w:pPr>
            <w:r/>
            <w:r>
              <w:rPr>
                <w:rFonts w:ascii="Aptos" w:hAnsi="Aptos"/>
                <w:b w:val="0"/>
                <w:sz w:val="16"/>
              </w:rPr>
              <w:t>Amazon</w:t>
            </w:r>
          </w:p>
        </w:tc>
        <w:tc>
          <w:tcPr>
            <w:tcW w:type="dxa" w:w="3456"/>
            <w:vAlign w:val="center"/>
            <w:shd w:fill="EEF2F6"/>
          </w:tcPr>
          <w:p>
            <w:pPr>
              <w:jc w:val="right"/>
            </w:pPr>
            <w:r/>
            <w:r>
              <w:rPr>
                <w:rFonts w:ascii="Aptos" w:hAnsi="Aptos"/>
                <w:b w:val="0"/>
                <w:sz w:val="16"/>
              </w:rPr>
              <w:t>Cloud infrastructure and scaled digital platform</w:t>
            </w:r>
          </w:p>
        </w:tc>
        <w:tc>
          <w:tcPr>
            <w:tcW w:type="dxa" w:w="3456"/>
            <w:vAlign w:val="center"/>
            <w:shd w:fill="EEF2F6"/>
          </w:tcPr>
          <w:p>
            <w:pPr>
              <w:jc w:val="right"/>
            </w:pPr>
            <w:r/>
            <w:r>
              <w:rPr>
                <w:rFonts w:ascii="Aptos" w:hAnsi="Aptos"/>
                <w:b w:val="0"/>
                <w:sz w:val="16"/>
              </w:rPr>
              <w:t>Cloud growth and infrastructure intensity</w:t>
            </w:r>
          </w:p>
        </w:tc>
      </w:tr>
      <w:tr>
        <w:tc>
          <w:tcPr>
            <w:tcW w:type="dxa" w:w="3456"/>
            <w:vAlign w:val="center"/>
          </w:tcPr>
          <w:p>
            <w:pPr>
              <w:jc w:val="left"/>
            </w:pPr>
            <w:r/>
            <w:r>
              <w:rPr>
                <w:rFonts w:ascii="Aptos" w:hAnsi="Aptos"/>
                <w:b w:val="0"/>
                <w:sz w:val="16"/>
              </w:rPr>
              <w:t>Meta Platforms</w:t>
            </w:r>
          </w:p>
        </w:tc>
        <w:tc>
          <w:tcPr>
            <w:tcW w:type="dxa" w:w="3456"/>
            <w:vAlign w:val="center"/>
          </w:tcPr>
          <w:p>
            <w:pPr>
              <w:jc w:val="right"/>
            </w:pPr>
            <w:r/>
            <w:r>
              <w:rPr>
                <w:rFonts w:ascii="Aptos" w:hAnsi="Aptos"/>
                <w:b w:val="0"/>
                <w:sz w:val="16"/>
              </w:rPr>
              <w:t>Digital advertising and consumer engagement</w:t>
            </w:r>
          </w:p>
        </w:tc>
        <w:tc>
          <w:tcPr>
            <w:tcW w:type="dxa" w:w="3456"/>
            <w:vAlign w:val="center"/>
          </w:tcPr>
          <w:p>
            <w:pPr>
              <w:jc w:val="right"/>
            </w:pPr>
            <w:r/>
            <w:r>
              <w:rPr>
                <w:rFonts w:ascii="Aptos" w:hAnsi="Aptos"/>
                <w:b w:val="0"/>
                <w:sz w:val="16"/>
              </w:rPr>
              <w:t>Advertising growth, margins, and AI recommendation systems</w:t>
            </w:r>
          </w:p>
        </w:tc>
      </w:tr>
      <w:tr>
        <w:tc>
          <w:tcPr>
            <w:tcW w:type="dxa" w:w="3456"/>
            <w:vAlign w:val="center"/>
            <w:shd w:fill="EEF2F6"/>
          </w:tcPr>
          <w:p>
            <w:pPr>
              <w:jc w:val="left"/>
            </w:pPr>
            <w:r/>
            <w:r>
              <w:rPr>
                <w:rFonts w:ascii="Aptos" w:hAnsi="Aptos"/>
                <w:b w:val="0"/>
                <w:sz w:val="16"/>
              </w:rPr>
              <w:t>Apple</w:t>
            </w:r>
          </w:p>
        </w:tc>
        <w:tc>
          <w:tcPr>
            <w:tcW w:type="dxa" w:w="3456"/>
            <w:vAlign w:val="center"/>
            <w:shd w:fill="EEF2F6"/>
          </w:tcPr>
          <w:p>
            <w:pPr>
              <w:jc w:val="right"/>
            </w:pPr>
            <w:r/>
            <w:r>
              <w:rPr>
                <w:rFonts w:ascii="Aptos" w:hAnsi="Aptos"/>
                <w:b w:val="0"/>
                <w:sz w:val="16"/>
              </w:rPr>
              <w:t>Consumer ecosystem and distribution</w:t>
            </w:r>
          </w:p>
        </w:tc>
        <w:tc>
          <w:tcPr>
            <w:tcW w:type="dxa" w:w="3456"/>
            <w:vAlign w:val="center"/>
            <w:shd w:fill="EEF2F6"/>
          </w:tcPr>
          <w:p>
            <w:pPr>
              <w:jc w:val="right"/>
            </w:pPr>
            <w:r/>
            <w:r>
              <w:rPr>
                <w:rFonts w:ascii="Aptos" w:hAnsi="Aptos"/>
                <w:b w:val="0"/>
                <w:sz w:val="16"/>
              </w:rPr>
              <w:t>Platform control, devices, services, and capital returns</w:t>
            </w:r>
          </w:p>
        </w:tc>
      </w:tr>
      <w:tr>
        <w:tc>
          <w:tcPr>
            <w:tcW w:type="dxa" w:w="3456"/>
            <w:vAlign w:val="center"/>
          </w:tcPr>
          <w:p>
            <w:pPr>
              <w:jc w:val="left"/>
            </w:pPr>
            <w:r/>
            <w:r>
              <w:rPr>
                <w:rFonts w:ascii="Aptos" w:hAnsi="Aptos"/>
                <w:b w:val="0"/>
                <w:sz w:val="16"/>
              </w:rPr>
              <w:t>Oracle</w:t>
            </w:r>
          </w:p>
        </w:tc>
        <w:tc>
          <w:tcPr>
            <w:tcW w:type="dxa" w:w="3456"/>
            <w:vAlign w:val="center"/>
          </w:tcPr>
          <w:p>
            <w:pPr>
              <w:jc w:val="right"/>
            </w:pPr>
            <w:r/>
            <w:r>
              <w:rPr>
                <w:rFonts w:ascii="Aptos" w:hAnsi="Aptos"/>
                <w:b w:val="0"/>
                <w:sz w:val="16"/>
              </w:rPr>
              <w:t>Enterprise cloud and contracted backlog</w:t>
            </w:r>
          </w:p>
        </w:tc>
        <w:tc>
          <w:tcPr>
            <w:tcW w:type="dxa" w:w="3456"/>
            <w:vAlign w:val="center"/>
          </w:tcPr>
          <w:p>
            <w:pPr>
              <w:jc w:val="right"/>
            </w:pPr>
            <w:r/>
            <w:r>
              <w:rPr>
                <w:rFonts w:ascii="Aptos" w:hAnsi="Aptos"/>
                <w:b w:val="0"/>
                <w:sz w:val="16"/>
              </w:rPr>
              <w:t>Backlog conversion and infrastructure economics</w:t>
            </w:r>
          </w:p>
        </w:tc>
      </w:tr>
    </w:tbl>
    <w:p>
      <w:pPr>
        <w:spacing w:after="0"/>
      </w:pPr>
    </w:p>
    <w:p>
      <w:pPr>
        <w:pStyle w:val="Heading2"/>
      </w:pPr>
      <w:r>
        <w:t>Forward earnings framework</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18304A"/>
          </w:tcPr>
          <w:p>
            <w:pPr>
              <w:jc w:val="center"/>
            </w:pPr>
            <w:r/>
            <w:r>
              <w:rPr>
                <w:rFonts w:ascii="Aptos" w:hAnsi="Aptos"/>
                <w:b/>
                <w:color w:val="FFFFFF"/>
                <w:sz w:val="16"/>
              </w:rPr>
              <w:t>Metric</w:t>
            </w:r>
          </w:p>
        </w:tc>
        <w:tc>
          <w:tcPr>
            <w:tcW w:type="dxa" w:w="5184"/>
            <w:vAlign w:val="center"/>
            <w:shd w:fill="18304A"/>
          </w:tcPr>
          <w:p>
            <w:pPr>
              <w:jc w:val="center"/>
            </w:pPr>
            <w:r/>
            <w:r>
              <w:rPr>
                <w:rFonts w:ascii="Aptos" w:hAnsi="Aptos"/>
                <w:b/>
                <w:color w:val="FFFFFF"/>
                <w:sz w:val="16"/>
              </w:rPr>
              <w:t>Base Assumption</w:t>
            </w:r>
          </w:p>
        </w:tc>
      </w:tr>
      <w:tr>
        <w:tc>
          <w:tcPr>
            <w:tcW w:type="dxa" w:w="5184"/>
            <w:vAlign w:val="center"/>
          </w:tcPr>
          <w:p>
            <w:pPr>
              <w:jc w:val="left"/>
            </w:pPr>
            <w:r/>
            <w:r>
              <w:rPr>
                <w:rFonts w:ascii="Aptos" w:hAnsi="Aptos"/>
                <w:b w:val="0"/>
                <w:sz w:val="16"/>
              </w:rPr>
              <w:t>2027 normalized EPS</w:t>
            </w:r>
          </w:p>
        </w:tc>
        <w:tc>
          <w:tcPr>
            <w:tcW w:type="dxa" w:w="5184"/>
            <w:vAlign w:val="center"/>
          </w:tcPr>
          <w:p>
            <w:pPr>
              <w:jc w:val="right"/>
            </w:pPr>
            <w:r/>
            <w:r>
              <w:rPr>
                <w:rFonts w:ascii="Aptos" w:hAnsi="Aptos"/>
                <w:b w:val="0"/>
                <w:sz w:val="16"/>
              </w:rPr>
              <w:t>$13.30</w:t>
            </w:r>
          </w:p>
        </w:tc>
      </w:tr>
      <w:tr>
        <w:tc>
          <w:tcPr>
            <w:tcW w:type="dxa" w:w="5184"/>
            <w:vAlign w:val="center"/>
            <w:shd w:fill="EEF2F6"/>
          </w:tcPr>
          <w:p>
            <w:pPr>
              <w:jc w:val="left"/>
            </w:pPr>
            <w:r/>
            <w:r>
              <w:rPr>
                <w:rFonts w:ascii="Aptos" w:hAnsi="Aptos"/>
                <w:b w:val="0"/>
                <w:sz w:val="16"/>
              </w:rPr>
              <w:t>Selected forward P/E</w:t>
            </w:r>
          </w:p>
        </w:tc>
        <w:tc>
          <w:tcPr>
            <w:tcW w:type="dxa" w:w="5184"/>
            <w:vAlign w:val="center"/>
            <w:shd w:fill="EEF2F6"/>
          </w:tcPr>
          <w:p>
            <w:pPr>
              <w:jc w:val="right"/>
            </w:pPr>
            <w:r/>
            <w:r>
              <w:rPr>
                <w:rFonts w:ascii="Aptos" w:hAnsi="Aptos"/>
                <w:b w:val="0"/>
                <w:sz w:val="16"/>
              </w:rPr>
              <w:t>24.7x</w:t>
            </w:r>
          </w:p>
        </w:tc>
      </w:tr>
      <w:tr>
        <w:tc>
          <w:tcPr>
            <w:tcW w:type="dxa" w:w="5184"/>
            <w:vAlign w:val="center"/>
          </w:tcPr>
          <w:p>
            <w:pPr>
              <w:jc w:val="left"/>
            </w:pPr>
            <w:r/>
            <w:r>
              <w:rPr>
                <w:rFonts w:ascii="Aptos" w:hAnsi="Aptos"/>
                <w:b w:val="0"/>
                <w:sz w:val="16"/>
              </w:rPr>
              <w:t>Implied equity value</w:t>
            </w:r>
          </w:p>
        </w:tc>
        <w:tc>
          <w:tcPr>
            <w:tcW w:type="dxa" w:w="5184"/>
            <w:vAlign w:val="center"/>
          </w:tcPr>
          <w:p>
            <w:pPr>
              <w:jc w:val="right"/>
            </w:pPr>
            <w:r/>
            <w:r>
              <w:rPr>
                <w:rFonts w:ascii="Aptos" w:hAnsi="Aptos"/>
                <w:b w:val="0"/>
                <w:sz w:val="16"/>
              </w:rPr>
              <w:t>$328 per share</w:t>
            </w:r>
          </w:p>
        </w:tc>
      </w:tr>
      <w:tr>
        <w:tc>
          <w:tcPr>
            <w:tcW w:type="dxa" w:w="5184"/>
            <w:vAlign w:val="center"/>
            <w:shd w:fill="EEF2F6"/>
          </w:tcPr>
          <w:p>
            <w:pPr>
              <w:jc w:val="left"/>
            </w:pPr>
            <w:r/>
            <w:r>
              <w:rPr>
                <w:rFonts w:ascii="Aptos" w:hAnsi="Aptos"/>
                <w:b w:val="0"/>
                <w:sz w:val="16"/>
              </w:rPr>
              <w:t>Rationale</w:t>
            </w:r>
          </w:p>
        </w:tc>
        <w:tc>
          <w:tcPr>
            <w:tcW w:type="dxa" w:w="5184"/>
            <w:vAlign w:val="center"/>
            <w:shd w:fill="EEF2F6"/>
          </w:tcPr>
          <w:p>
            <w:pPr>
              <w:jc w:val="right"/>
            </w:pPr>
            <w:r/>
            <w:r>
              <w:rPr>
                <w:rFonts w:ascii="Aptos" w:hAnsi="Aptos"/>
                <w:b w:val="0"/>
                <w:sz w:val="16"/>
              </w:rPr>
              <w:t>Premium to slower-growth platforms; discount to the strongest recurring-software franchises</w:t>
            </w:r>
          </w:p>
        </w:tc>
      </w:tr>
    </w:tbl>
    <w:p>
      <w:pPr>
        <w:spacing w:after="0"/>
      </w:pPr>
    </w:p>
    <w:p>
      <w:pPr>
        <w:pStyle w:val="Heading2"/>
      </w:pPr>
      <w:r>
        <w:t>EV/EBITDA / peer framework</w:t>
      </w:r>
    </w:p>
    <w:p>
      <w:r>
        <w:t>A blended peer framework produces an implied value of approximately $342 per share. This higher result reflects the value of Cloud growth, Search margins, the net cash and investment portfolio, and limited credit for Other Bets. A 20% weight is used because differences in business mix and capex accounting reduce precision.</w:t>
      </w:r>
    </w:p>
    <w:p>
      <w:r>
        <w:br w:type="page"/>
      </w:r>
    </w:p>
    <w:p>
      <w:pPr>
        <w:pStyle w:val="Heading1"/>
      </w:pPr>
      <w:r>
        <w:t>10. Valuation Conclusion and Price Target</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18304A"/>
          </w:tcPr>
          <w:p>
            <w:pPr>
              <w:jc w:val="center"/>
            </w:pPr>
            <w:r/>
            <w:r>
              <w:rPr>
                <w:rFonts w:ascii="Aptos" w:hAnsi="Aptos"/>
                <w:b/>
                <w:color w:val="FFFFFF"/>
                <w:sz w:val="16"/>
              </w:rPr>
              <w:t>Method</w:t>
            </w:r>
          </w:p>
        </w:tc>
        <w:tc>
          <w:tcPr>
            <w:tcW w:type="dxa" w:w="2592"/>
            <w:vAlign w:val="center"/>
            <w:shd w:fill="18304A"/>
          </w:tcPr>
          <w:p>
            <w:pPr>
              <w:jc w:val="center"/>
            </w:pPr>
            <w:r/>
            <w:r>
              <w:rPr>
                <w:rFonts w:ascii="Aptos" w:hAnsi="Aptos"/>
                <w:b/>
                <w:color w:val="FFFFFF"/>
                <w:sz w:val="16"/>
              </w:rPr>
              <w:t>Implied Price</w:t>
            </w:r>
          </w:p>
        </w:tc>
        <w:tc>
          <w:tcPr>
            <w:tcW w:type="dxa" w:w="2592"/>
            <w:vAlign w:val="center"/>
            <w:shd w:fill="18304A"/>
          </w:tcPr>
          <w:p>
            <w:pPr>
              <w:jc w:val="center"/>
            </w:pPr>
            <w:r/>
            <w:r>
              <w:rPr>
                <w:rFonts w:ascii="Aptos" w:hAnsi="Aptos"/>
                <w:b/>
                <w:color w:val="FFFFFF"/>
                <w:sz w:val="16"/>
              </w:rPr>
              <w:t>Weight</w:t>
            </w:r>
          </w:p>
        </w:tc>
        <w:tc>
          <w:tcPr>
            <w:tcW w:type="dxa" w:w="2592"/>
            <w:vAlign w:val="center"/>
            <w:shd w:fill="18304A"/>
          </w:tcPr>
          <w:p>
            <w:pPr>
              <w:jc w:val="center"/>
            </w:pPr>
            <w:r/>
            <w:r>
              <w:rPr>
                <w:rFonts w:ascii="Aptos" w:hAnsi="Aptos"/>
                <w:b/>
                <w:color w:val="FFFFFF"/>
                <w:sz w:val="16"/>
              </w:rPr>
              <w:t>Contribution</w:t>
            </w:r>
          </w:p>
        </w:tc>
      </w:tr>
      <w:tr>
        <w:tc>
          <w:tcPr>
            <w:tcW w:type="dxa" w:w="2592"/>
            <w:vAlign w:val="center"/>
          </w:tcPr>
          <w:p>
            <w:pPr>
              <w:jc w:val="left"/>
            </w:pPr>
            <w:r/>
            <w:r>
              <w:rPr>
                <w:rFonts w:ascii="Aptos" w:hAnsi="Aptos"/>
                <w:b w:val="0"/>
                <w:sz w:val="16"/>
              </w:rPr>
              <w:t>DCF</w:t>
            </w:r>
          </w:p>
        </w:tc>
        <w:tc>
          <w:tcPr>
            <w:tcW w:type="dxa" w:w="2592"/>
            <w:vAlign w:val="center"/>
          </w:tcPr>
          <w:p>
            <w:pPr>
              <w:jc w:val="right"/>
            </w:pPr>
            <w:r/>
            <w:r>
              <w:rPr>
                <w:rFonts w:ascii="Aptos" w:hAnsi="Aptos"/>
                <w:b w:val="0"/>
                <w:sz w:val="16"/>
              </w:rPr>
              <w:t>$305</w:t>
            </w:r>
          </w:p>
        </w:tc>
        <w:tc>
          <w:tcPr>
            <w:tcW w:type="dxa" w:w="2592"/>
            <w:vAlign w:val="center"/>
          </w:tcPr>
          <w:p>
            <w:pPr>
              <w:jc w:val="right"/>
            </w:pPr>
            <w:r/>
            <w:r>
              <w:rPr>
                <w:rFonts w:ascii="Aptos" w:hAnsi="Aptos"/>
                <w:b w:val="0"/>
                <w:sz w:val="16"/>
              </w:rPr>
              <w:t xml:space="preserve">45% </w:t>
            </w:r>
          </w:p>
        </w:tc>
        <w:tc>
          <w:tcPr>
            <w:tcW w:type="dxa" w:w="2592"/>
            <w:vAlign w:val="center"/>
          </w:tcPr>
          <w:p>
            <w:pPr>
              <w:jc w:val="right"/>
            </w:pPr>
            <w:r/>
            <w:r>
              <w:rPr>
                <w:rFonts w:ascii="Aptos" w:hAnsi="Aptos"/>
                <w:b w:val="0"/>
                <w:sz w:val="16"/>
              </w:rPr>
              <w:t>$137.2</w:t>
            </w:r>
          </w:p>
        </w:tc>
      </w:tr>
      <w:tr>
        <w:tc>
          <w:tcPr>
            <w:tcW w:type="dxa" w:w="2592"/>
            <w:vAlign w:val="center"/>
            <w:shd w:fill="EEF2F6"/>
          </w:tcPr>
          <w:p>
            <w:pPr>
              <w:jc w:val="left"/>
            </w:pPr>
            <w:r/>
            <w:r>
              <w:rPr>
                <w:rFonts w:ascii="Aptos" w:hAnsi="Aptos"/>
                <w:b w:val="0"/>
                <w:sz w:val="16"/>
              </w:rPr>
              <w:t>Forward P/E</w:t>
            </w:r>
          </w:p>
        </w:tc>
        <w:tc>
          <w:tcPr>
            <w:tcW w:type="dxa" w:w="2592"/>
            <w:vAlign w:val="center"/>
            <w:shd w:fill="EEF2F6"/>
          </w:tcPr>
          <w:p>
            <w:pPr>
              <w:jc w:val="right"/>
            </w:pPr>
            <w:r/>
            <w:r>
              <w:rPr>
                <w:rFonts w:ascii="Aptos" w:hAnsi="Aptos"/>
                <w:b w:val="0"/>
                <w:sz w:val="16"/>
              </w:rPr>
              <w:t>$328</w:t>
            </w:r>
          </w:p>
        </w:tc>
        <w:tc>
          <w:tcPr>
            <w:tcW w:type="dxa" w:w="2592"/>
            <w:vAlign w:val="center"/>
            <w:shd w:fill="EEF2F6"/>
          </w:tcPr>
          <w:p>
            <w:pPr>
              <w:jc w:val="right"/>
            </w:pPr>
            <w:r/>
            <w:r>
              <w:rPr>
                <w:rFonts w:ascii="Aptos" w:hAnsi="Aptos"/>
                <w:b w:val="0"/>
                <w:sz w:val="16"/>
              </w:rPr>
              <w:t xml:space="preserve">35% </w:t>
            </w:r>
          </w:p>
        </w:tc>
        <w:tc>
          <w:tcPr>
            <w:tcW w:type="dxa" w:w="2592"/>
            <w:vAlign w:val="center"/>
            <w:shd w:fill="EEF2F6"/>
          </w:tcPr>
          <w:p>
            <w:pPr>
              <w:jc w:val="right"/>
            </w:pPr>
            <w:r/>
            <w:r>
              <w:rPr>
                <w:rFonts w:ascii="Aptos" w:hAnsi="Aptos"/>
                <w:b w:val="0"/>
                <w:sz w:val="16"/>
              </w:rPr>
              <w:t>$114.8</w:t>
            </w:r>
          </w:p>
        </w:tc>
      </w:tr>
      <w:tr>
        <w:tc>
          <w:tcPr>
            <w:tcW w:type="dxa" w:w="2592"/>
            <w:vAlign w:val="center"/>
          </w:tcPr>
          <w:p>
            <w:pPr>
              <w:jc w:val="left"/>
            </w:pPr>
            <w:r/>
            <w:r>
              <w:rPr>
                <w:rFonts w:ascii="Aptos" w:hAnsi="Aptos"/>
                <w:b w:val="0"/>
                <w:sz w:val="16"/>
              </w:rPr>
              <w:t>EV/EBITDA / peer framework</w:t>
            </w:r>
          </w:p>
        </w:tc>
        <w:tc>
          <w:tcPr>
            <w:tcW w:type="dxa" w:w="2592"/>
            <w:vAlign w:val="center"/>
          </w:tcPr>
          <w:p>
            <w:pPr>
              <w:jc w:val="right"/>
            </w:pPr>
            <w:r/>
            <w:r>
              <w:rPr>
                <w:rFonts w:ascii="Aptos" w:hAnsi="Aptos"/>
                <w:b w:val="0"/>
                <w:sz w:val="16"/>
              </w:rPr>
              <w:t>$342</w:t>
            </w:r>
          </w:p>
        </w:tc>
        <w:tc>
          <w:tcPr>
            <w:tcW w:type="dxa" w:w="2592"/>
            <w:vAlign w:val="center"/>
          </w:tcPr>
          <w:p>
            <w:pPr>
              <w:jc w:val="right"/>
            </w:pPr>
            <w:r/>
            <w:r>
              <w:rPr>
                <w:rFonts w:ascii="Aptos" w:hAnsi="Aptos"/>
                <w:b w:val="0"/>
                <w:sz w:val="16"/>
              </w:rPr>
              <w:t xml:space="preserve">20% </w:t>
            </w:r>
          </w:p>
        </w:tc>
        <w:tc>
          <w:tcPr>
            <w:tcW w:type="dxa" w:w="2592"/>
            <w:vAlign w:val="center"/>
          </w:tcPr>
          <w:p>
            <w:pPr>
              <w:jc w:val="right"/>
            </w:pPr>
            <w:r/>
            <w:r>
              <w:rPr>
                <w:rFonts w:ascii="Aptos" w:hAnsi="Aptos"/>
                <w:b w:val="0"/>
                <w:sz w:val="16"/>
              </w:rPr>
              <w:t>$68.4</w:t>
            </w:r>
          </w:p>
        </w:tc>
      </w:tr>
      <w:tr>
        <w:tc>
          <w:tcPr>
            <w:tcW w:type="dxa" w:w="2592"/>
            <w:vAlign w:val="center"/>
            <w:shd w:fill="EEF2F6"/>
          </w:tcPr>
          <w:p>
            <w:pPr>
              <w:jc w:val="left"/>
            </w:pPr>
            <w:r/>
            <w:r>
              <w:rPr>
                <w:rFonts w:ascii="Aptos" w:hAnsi="Aptos"/>
                <w:b w:val="0"/>
                <w:sz w:val="16"/>
              </w:rPr>
              <w:t>Blended indicated value</w:t>
            </w:r>
          </w:p>
        </w:tc>
        <w:tc>
          <w:tcPr>
            <w:tcW w:type="dxa" w:w="2592"/>
            <w:vAlign w:val="center"/>
            <w:shd w:fill="EEF2F6"/>
          </w:tcPr>
          <w:p>
            <w:pPr>
              <w:jc w:val="right"/>
            </w:pPr>
            <w:r/>
            <w:r>
              <w:rPr>
                <w:rFonts w:ascii="Aptos" w:hAnsi="Aptos"/>
                <w:b w:val="0"/>
                <w:sz w:val="16"/>
              </w:rPr>
              <w:t>$320</w:t>
            </w:r>
          </w:p>
        </w:tc>
        <w:tc>
          <w:tcPr>
            <w:tcW w:type="dxa" w:w="2592"/>
            <w:vAlign w:val="center"/>
            <w:shd w:fill="EEF2F6"/>
          </w:tcPr>
          <w:p>
            <w:pPr>
              <w:jc w:val="right"/>
            </w:pPr>
            <w:r/>
            <w:r>
              <w:rPr>
                <w:rFonts w:ascii="Aptos" w:hAnsi="Aptos"/>
                <w:b w:val="0"/>
                <w:sz w:val="16"/>
              </w:rPr>
              <w:t>100%</w:t>
            </w:r>
          </w:p>
        </w:tc>
        <w:tc>
          <w:tcPr>
            <w:tcW w:type="dxa" w:w="2592"/>
            <w:vAlign w:val="center"/>
            <w:shd w:fill="EEF2F6"/>
          </w:tcPr>
          <w:p>
            <w:pPr>
              <w:jc w:val="right"/>
            </w:pPr>
            <w:r/>
            <w:r>
              <w:rPr>
                <w:rFonts w:ascii="Aptos" w:hAnsi="Aptos"/>
                <w:b w:val="0"/>
                <w:sz w:val="16"/>
              </w:rPr>
              <w:t>$320.4</w:t>
            </w:r>
          </w:p>
        </w:tc>
      </w:tr>
      <w:tr>
        <w:tc>
          <w:tcPr>
            <w:tcW w:type="dxa" w:w="2592"/>
            <w:vAlign w:val="center"/>
          </w:tcPr>
          <w:p>
            <w:pPr>
              <w:jc w:val="left"/>
            </w:pPr>
            <w:r/>
            <w:r>
              <w:rPr>
                <w:rFonts w:ascii="Aptos" w:hAnsi="Aptos"/>
                <w:b w:val="0"/>
                <w:sz w:val="16"/>
              </w:rPr>
              <w:t>Published 12-month target</w:t>
            </w:r>
          </w:p>
        </w:tc>
        <w:tc>
          <w:tcPr>
            <w:tcW w:type="dxa" w:w="2592"/>
            <w:vAlign w:val="center"/>
          </w:tcPr>
          <w:p>
            <w:pPr>
              <w:jc w:val="right"/>
            </w:pPr>
            <w:r/>
            <w:r>
              <w:rPr>
                <w:rFonts w:ascii="Aptos" w:hAnsi="Aptos"/>
                <w:b w:val="0"/>
                <w:sz w:val="16"/>
              </w:rPr>
              <w:t>$320</w:t>
            </w:r>
          </w:p>
        </w:tc>
        <w:tc>
          <w:tcPr>
            <w:tcW w:type="dxa" w:w="2592"/>
            <w:vAlign w:val="center"/>
          </w:tcPr>
          <w:p>
            <w:pPr>
              <w:jc w:val="right"/>
            </w:pPr>
            <w:r/>
            <w:r>
              <w:rPr>
                <w:rFonts w:ascii="Aptos" w:hAnsi="Aptos"/>
                <w:b w:val="0"/>
                <w:sz w:val="16"/>
              </w:rPr>
              <w:t>-</w:t>
            </w:r>
          </w:p>
        </w:tc>
        <w:tc>
          <w:tcPr>
            <w:tcW w:type="dxa" w:w="2592"/>
            <w:vAlign w:val="center"/>
          </w:tcPr>
          <w:p>
            <w:pPr>
              <w:jc w:val="right"/>
            </w:pPr>
            <w:r/>
            <w:r>
              <w:rPr>
                <w:rFonts w:ascii="Aptos" w:hAnsi="Aptos"/>
                <w:b w:val="0"/>
                <w:sz w:val="16"/>
              </w:rPr>
              <w:t>Rounded / conservatism</w:t>
            </w:r>
          </w:p>
        </w:tc>
      </w:tr>
    </w:tbl>
    <w:p>
      <w:pPr>
        <w:spacing w:after="0"/>
      </w:pPr>
    </w:p>
    <w:p>
      <w:r>
        <w:t>At the March 12, 2026 closing price of $303.55, the $320 target implies 5.4% price appreciation and approximately 5.7% total return including the indicated annual dividend. This is a modest nominal upside for a BUY rating; the rating reflects the quality of the franchise, balance-sheet resilience, and favorable base-to-bull asymmetry rather than a deeply discounted entry point.</w:t>
      </w:r>
    </w:p>
    <w:p>
      <w:pPr>
        <w:pStyle w:val="Heading2"/>
      </w:pPr>
      <w:r>
        <w:t>Why the target is not higher</w:t>
      </w:r>
    </w:p>
    <w:p>
      <w:r>
        <w:t>The target incorporates a meaningful valuation discount for the 2026 free-cash-flow trough, uncertain returns on AI infrastructure, ongoing antitrust remedies, and the possibility that reported investment gains overstate recurring earnings. The model therefore avoids capitalizing the bull case fully.</w:t>
      </w:r>
    </w:p>
    <w:p>
      <w:r>
        <w:br w:type="page"/>
      </w:r>
    </w:p>
    <w:p>
      <w:pPr>
        <w:pStyle w:val="Heading1"/>
      </w:pPr>
      <w:r>
        <w:t>11. Bull, Base, and Bear Scenarios</w:t>
      </w:r>
    </w:p>
    <w:p>
      <w:r>
        <w:drawing>
          <wp:inline xmlns:a="http://schemas.openxmlformats.org/drawingml/2006/main" xmlns:pic="http://schemas.openxmlformats.org/drawingml/2006/picture">
            <wp:extent cx="6035040" cy="3474720"/>
            <wp:docPr id="5" name="Picture 5"/>
            <wp:cNvGraphicFramePr>
              <a:graphicFrameLocks noChangeAspect="1"/>
            </wp:cNvGraphicFramePr>
            <a:graphic>
              <a:graphicData uri="http://schemas.openxmlformats.org/drawingml/2006/picture">
                <pic:pic>
                  <pic:nvPicPr>
                    <pic:cNvPr id="0" name="scenarios.png"/>
                    <pic:cNvPicPr/>
                  </pic:nvPicPr>
                  <pic:blipFill>
                    <a:blip r:embed="rId15"/>
                    <a:stretch>
                      <a:fillRect/>
                    </a:stretch>
                  </pic:blipFill>
                  <pic:spPr>
                    <a:xfrm>
                      <a:off x="0" y="0"/>
                      <a:ext cx="6035040" cy="3474720"/>
                    </a:xfrm>
                    <a:prstGeom prst="rect"/>
                  </pic:spPr>
                </pic:pic>
              </a:graphicData>
            </a:graphic>
          </wp:inline>
        </w:drawing>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18304A"/>
          </w:tcPr>
          <w:p>
            <w:pPr>
              <w:jc w:val="center"/>
            </w:pPr>
            <w:r/>
            <w:r>
              <w:rPr>
                <w:rFonts w:ascii="Aptos" w:hAnsi="Aptos"/>
                <w:b/>
                <w:color w:val="FFFFFF"/>
                <w:sz w:val="16"/>
              </w:rPr>
              <w:t>Scenario</w:t>
            </w:r>
          </w:p>
        </w:tc>
        <w:tc>
          <w:tcPr>
            <w:tcW w:type="dxa" w:w="2592"/>
            <w:vAlign w:val="center"/>
            <w:shd w:fill="18304A"/>
          </w:tcPr>
          <w:p>
            <w:pPr>
              <w:jc w:val="center"/>
            </w:pPr>
            <w:r/>
            <w:r>
              <w:rPr>
                <w:rFonts w:ascii="Aptos" w:hAnsi="Aptos"/>
                <w:b/>
                <w:color w:val="FFFFFF"/>
                <w:sz w:val="16"/>
              </w:rPr>
              <w:t>Probability</w:t>
            </w:r>
          </w:p>
        </w:tc>
        <w:tc>
          <w:tcPr>
            <w:tcW w:type="dxa" w:w="2592"/>
            <w:vAlign w:val="center"/>
            <w:shd w:fill="18304A"/>
          </w:tcPr>
          <w:p>
            <w:pPr>
              <w:jc w:val="center"/>
            </w:pPr>
            <w:r/>
            <w:r>
              <w:rPr>
                <w:rFonts w:ascii="Aptos" w:hAnsi="Aptos"/>
                <w:b/>
                <w:color w:val="FFFFFF"/>
                <w:sz w:val="16"/>
              </w:rPr>
              <w:t>Target</w:t>
            </w:r>
          </w:p>
        </w:tc>
        <w:tc>
          <w:tcPr>
            <w:tcW w:type="dxa" w:w="2592"/>
            <w:vAlign w:val="center"/>
            <w:shd w:fill="18304A"/>
          </w:tcPr>
          <w:p>
            <w:pPr>
              <w:jc w:val="center"/>
            </w:pPr>
            <w:r/>
            <w:r>
              <w:rPr>
                <w:rFonts w:ascii="Aptos" w:hAnsi="Aptos"/>
                <w:b/>
                <w:color w:val="FFFFFF"/>
                <w:sz w:val="16"/>
              </w:rPr>
              <w:t>Key Assumptions</w:t>
            </w:r>
          </w:p>
        </w:tc>
      </w:tr>
      <w:tr>
        <w:tc>
          <w:tcPr>
            <w:tcW w:type="dxa" w:w="2592"/>
            <w:vAlign w:val="center"/>
          </w:tcPr>
          <w:p>
            <w:pPr>
              <w:jc w:val="left"/>
            </w:pPr>
            <w:r/>
            <w:r>
              <w:rPr>
                <w:rFonts w:ascii="Aptos" w:hAnsi="Aptos"/>
                <w:b w:val="0"/>
                <w:sz w:val="16"/>
              </w:rPr>
              <w:t>Bear</w:t>
            </w:r>
          </w:p>
        </w:tc>
        <w:tc>
          <w:tcPr>
            <w:tcW w:type="dxa" w:w="2592"/>
            <w:vAlign w:val="center"/>
          </w:tcPr>
          <w:p>
            <w:pPr>
              <w:jc w:val="right"/>
            </w:pPr>
            <w:r/>
            <w:r>
              <w:rPr>
                <w:rFonts w:ascii="Aptos" w:hAnsi="Aptos"/>
                <w:b w:val="0"/>
                <w:sz w:val="16"/>
              </w:rPr>
              <w:t>25%</w:t>
            </w:r>
          </w:p>
        </w:tc>
        <w:tc>
          <w:tcPr>
            <w:tcW w:type="dxa" w:w="2592"/>
            <w:vAlign w:val="center"/>
          </w:tcPr>
          <w:p>
            <w:pPr>
              <w:jc w:val="right"/>
            </w:pPr>
            <w:r/>
            <w:r>
              <w:rPr>
                <w:rFonts w:ascii="Aptos" w:hAnsi="Aptos"/>
                <w:b w:val="0"/>
                <w:sz w:val="16"/>
              </w:rPr>
              <w:t>$230</w:t>
            </w:r>
          </w:p>
        </w:tc>
        <w:tc>
          <w:tcPr>
            <w:tcW w:type="dxa" w:w="2592"/>
            <w:vAlign w:val="center"/>
          </w:tcPr>
          <w:p>
            <w:pPr>
              <w:jc w:val="right"/>
            </w:pPr>
            <w:r/>
            <w:r>
              <w:rPr>
                <w:rFonts w:ascii="Aptos" w:hAnsi="Aptos"/>
                <w:b w:val="0"/>
                <w:sz w:val="16"/>
              </w:rPr>
              <w:t>Search growth falls to mid-single digits; AI capex remains elevated; Cloud growth slows; regulatory remedies pressure distribution and margins.</w:t>
            </w:r>
          </w:p>
        </w:tc>
      </w:tr>
      <w:tr>
        <w:tc>
          <w:tcPr>
            <w:tcW w:type="dxa" w:w="2592"/>
            <w:vAlign w:val="center"/>
            <w:shd w:fill="EEF2F6"/>
          </w:tcPr>
          <w:p>
            <w:pPr>
              <w:jc w:val="left"/>
            </w:pPr>
            <w:r/>
            <w:r>
              <w:rPr>
                <w:rFonts w:ascii="Aptos" w:hAnsi="Aptos"/>
                <w:b w:val="0"/>
                <w:sz w:val="16"/>
              </w:rPr>
              <w:t>Base</w:t>
            </w:r>
          </w:p>
        </w:tc>
        <w:tc>
          <w:tcPr>
            <w:tcW w:type="dxa" w:w="2592"/>
            <w:vAlign w:val="center"/>
            <w:shd w:fill="EEF2F6"/>
          </w:tcPr>
          <w:p>
            <w:pPr>
              <w:jc w:val="right"/>
            </w:pPr>
            <w:r/>
            <w:r>
              <w:rPr>
                <w:rFonts w:ascii="Aptos" w:hAnsi="Aptos"/>
                <w:b w:val="0"/>
                <w:sz w:val="16"/>
              </w:rPr>
              <w:t>55%</w:t>
            </w:r>
          </w:p>
        </w:tc>
        <w:tc>
          <w:tcPr>
            <w:tcW w:type="dxa" w:w="2592"/>
            <w:vAlign w:val="center"/>
            <w:shd w:fill="EEF2F6"/>
          </w:tcPr>
          <w:p>
            <w:pPr>
              <w:jc w:val="right"/>
            </w:pPr>
            <w:r/>
            <w:r>
              <w:rPr>
                <w:rFonts w:ascii="Aptos" w:hAnsi="Aptos"/>
                <w:b w:val="0"/>
                <w:sz w:val="16"/>
              </w:rPr>
              <w:t>$320</w:t>
            </w:r>
          </w:p>
        </w:tc>
        <w:tc>
          <w:tcPr>
            <w:tcW w:type="dxa" w:w="2592"/>
            <w:vAlign w:val="center"/>
            <w:shd w:fill="EEF2F6"/>
          </w:tcPr>
          <w:p>
            <w:pPr>
              <w:jc w:val="right"/>
            </w:pPr>
            <w:r/>
            <w:r>
              <w:rPr>
                <w:rFonts w:ascii="Aptos" w:hAnsi="Aptos"/>
                <w:b w:val="0"/>
                <w:sz w:val="16"/>
              </w:rPr>
              <w:t>Double-digit consolidated growth moderates gradually; Cloud backlog converts; 2026 is the FCF trough; margins recover after 2026.</w:t>
            </w:r>
          </w:p>
        </w:tc>
      </w:tr>
      <w:tr>
        <w:tc>
          <w:tcPr>
            <w:tcW w:type="dxa" w:w="2592"/>
            <w:vAlign w:val="center"/>
          </w:tcPr>
          <w:p>
            <w:pPr>
              <w:jc w:val="left"/>
            </w:pPr>
            <w:r/>
            <w:r>
              <w:rPr>
                <w:rFonts w:ascii="Aptos" w:hAnsi="Aptos"/>
                <w:b w:val="0"/>
                <w:sz w:val="16"/>
              </w:rPr>
              <w:t>Bull</w:t>
            </w:r>
          </w:p>
        </w:tc>
        <w:tc>
          <w:tcPr>
            <w:tcW w:type="dxa" w:w="2592"/>
            <w:vAlign w:val="center"/>
          </w:tcPr>
          <w:p>
            <w:pPr>
              <w:jc w:val="right"/>
            </w:pPr>
            <w:r/>
            <w:r>
              <w:rPr>
                <w:rFonts w:ascii="Aptos" w:hAnsi="Aptos"/>
                <w:b w:val="0"/>
                <w:sz w:val="16"/>
              </w:rPr>
              <w:t>20%</w:t>
            </w:r>
          </w:p>
        </w:tc>
        <w:tc>
          <w:tcPr>
            <w:tcW w:type="dxa" w:w="2592"/>
            <w:vAlign w:val="center"/>
          </w:tcPr>
          <w:p>
            <w:pPr>
              <w:jc w:val="right"/>
            </w:pPr>
            <w:r/>
            <w:r>
              <w:rPr>
                <w:rFonts w:ascii="Aptos" w:hAnsi="Aptos"/>
                <w:b w:val="0"/>
                <w:sz w:val="16"/>
              </w:rPr>
              <w:t>$395</w:t>
            </w:r>
          </w:p>
        </w:tc>
        <w:tc>
          <w:tcPr>
            <w:tcW w:type="dxa" w:w="2592"/>
            <w:vAlign w:val="center"/>
          </w:tcPr>
          <w:p>
            <w:pPr>
              <w:jc w:val="right"/>
            </w:pPr>
            <w:r/>
            <w:r>
              <w:rPr>
                <w:rFonts w:ascii="Aptos" w:hAnsi="Aptos"/>
                <w:b w:val="0"/>
                <w:sz w:val="16"/>
              </w:rPr>
              <w:t>Search AI monetization accelerates; Cloud sustains 30%+ growth longer; capex efficiency improves; Other Bets receives greater market credit.</w:t>
            </w:r>
          </w:p>
        </w:tc>
      </w:tr>
    </w:tbl>
    <w:p>
      <w:pPr>
        <w:spacing w:after="0"/>
      </w:pPr>
    </w:p>
    <w:p>
      <w:pPr>
        <w:pStyle w:val="Heading2"/>
      </w:pPr>
      <w:r>
        <w:t>Probability-weighted scenario value</w:t>
      </w:r>
    </w:p>
    <w:p>
      <w:r>
        <w:t>The probability-weighted scenario value is approximately $312 per share. The published $320 target is slightly below that result and represents a conservative rounding of the base-case framework.</w:t>
      </w:r>
    </w:p>
    <w:p>
      <w:r>
        <w:br w:type="page"/>
      </w:r>
    </w:p>
    <w:p>
      <w:pPr>
        <w:pStyle w:val="Heading1"/>
      </w:pPr>
      <w:r>
        <w:t>12. Catalysts</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18304A"/>
          </w:tcPr>
          <w:p>
            <w:pPr>
              <w:jc w:val="center"/>
            </w:pPr>
            <w:r/>
            <w:r>
              <w:rPr>
                <w:rFonts w:ascii="Aptos" w:hAnsi="Aptos"/>
                <w:b/>
                <w:color w:val="FFFFFF"/>
                <w:sz w:val="16"/>
              </w:rPr>
              <w:t>Catalyst</w:t>
            </w:r>
          </w:p>
        </w:tc>
        <w:tc>
          <w:tcPr>
            <w:tcW w:type="dxa" w:w="3456"/>
            <w:vAlign w:val="center"/>
            <w:shd w:fill="18304A"/>
          </w:tcPr>
          <w:p>
            <w:pPr>
              <w:jc w:val="center"/>
            </w:pPr>
            <w:r/>
            <w:r>
              <w:rPr>
                <w:rFonts w:ascii="Aptos" w:hAnsi="Aptos"/>
                <w:b/>
                <w:color w:val="FFFFFF"/>
                <w:sz w:val="16"/>
              </w:rPr>
              <w:t>Expected Timing</w:t>
            </w:r>
          </w:p>
        </w:tc>
        <w:tc>
          <w:tcPr>
            <w:tcW w:type="dxa" w:w="3456"/>
            <w:vAlign w:val="center"/>
            <w:shd w:fill="18304A"/>
          </w:tcPr>
          <w:p>
            <w:pPr>
              <w:jc w:val="center"/>
            </w:pPr>
            <w:r/>
            <w:r>
              <w:rPr>
                <w:rFonts w:ascii="Aptos" w:hAnsi="Aptos"/>
                <w:b/>
                <w:color w:val="FFFFFF"/>
                <w:sz w:val="16"/>
              </w:rPr>
              <w:t>Potential Impact</w:t>
            </w:r>
          </w:p>
        </w:tc>
      </w:tr>
      <w:tr>
        <w:tc>
          <w:tcPr>
            <w:tcW w:type="dxa" w:w="3456"/>
            <w:vAlign w:val="center"/>
          </w:tcPr>
          <w:p>
            <w:pPr>
              <w:jc w:val="left"/>
            </w:pPr>
            <w:r/>
            <w:r>
              <w:rPr>
                <w:rFonts w:ascii="Aptos" w:hAnsi="Aptos"/>
                <w:b w:val="0"/>
                <w:sz w:val="16"/>
              </w:rPr>
              <w:t>Cloud backlog conversion and sustained 40%+ near-term growth</w:t>
            </w:r>
          </w:p>
        </w:tc>
        <w:tc>
          <w:tcPr>
            <w:tcW w:type="dxa" w:w="3456"/>
            <w:vAlign w:val="center"/>
          </w:tcPr>
          <w:p>
            <w:pPr>
              <w:jc w:val="right"/>
            </w:pPr>
            <w:r/>
            <w:r>
              <w:rPr>
                <w:rFonts w:ascii="Aptos" w:hAnsi="Aptos"/>
                <w:b w:val="0"/>
                <w:sz w:val="16"/>
              </w:rPr>
              <w:t>2026 quarterly results</w:t>
            </w:r>
          </w:p>
        </w:tc>
        <w:tc>
          <w:tcPr>
            <w:tcW w:type="dxa" w:w="3456"/>
            <w:vAlign w:val="center"/>
          </w:tcPr>
          <w:p>
            <w:pPr>
              <w:jc w:val="right"/>
            </w:pPr>
            <w:r/>
            <w:r>
              <w:rPr>
                <w:rFonts w:ascii="Aptos" w:hAnsi="Aptos"/>
                <w:b w:val="0"/>
                <w:sz w:val="16"/>
              </w:rPr>
              <w:t>Supports higher Cloud revenue and margin estimates</w:t>
            </w:r>
          </w:p>
        </w:tc>
      </w:tr>
      <w:tr>
        <w:tc>
          <w:tcPr>
            <w:tcW w:type="dxa" w:w="3456"/>
            <w:vAlign w:val="center"/>
            <w:shd w:fill="EEF2F6"/>
          </w:tcPr>
          <w:p>
            <w:pPr>
              <w:jc w:val="left"/>
            </w:pPr>
            <w:r/>
            <w:r>
              <w:rPr>
                <w:rFonts w:ascii="Aptos" w:hAnsi="Aptos"/>
                <w:b w:val="0"/>
                <w:sz w:val="16"/>
              </w:rPr>
              <w:t>Evidence that AI Mode monetizes commercial queries</w:t>
            </w:r>
          </w:p>
        </w:tc>
        <w:tc>
          <w:tcPr>
            <w:tcW w:type="dxa" w:w="3456"/>
            <w:vAlign w:val="center"/>
            <w:shd w:fill="EEF2F6"/>
          </w:tcPr>
          <w:p>
            <w:pPr>
              <w:jc w:val="right"/>
            </w:pPr>
            <w:r/>
            <w:r>
              <w:rPr>
                <w:rFonts w:ascii="Aptos" w:hAnsi="Aptos"/>
                <w:b w:val="0"/>
                <w:sz w:val="16"/>
              </w:rPr>
              <w:t>2026 product and earnings updates</w:t>
            </w:r>
          </w:p>
        </w:tc>
        <w:tc>
          <w:tcPr>
            <w:tcW w:type="dxa" w:w="3456"/>
            <w:vAlign w:val="center"/>
            <w:shd w:fill="EEF2F6"/>
          </w:tcPr>
          <w:p>
            <w:pPr>
              <w:jc w:val="right"/>
            </w:pPr>
            <w:r/>
            <w:r>
              <w:rPr>
                <w:rFonts w:ascii="Aptos" w:hAnsi="Aptos"/>
                <w:b w:val="0"/>
                <w:sz w:val="16"/>
              </w:rPr>
              <w:t>Reduces Search cannibalization concerns</w:t>
            </w:r>
          </w:p>
        </w:tc>
      </w:tr>
      <w:tr>
        <w:tc>
          <w:tcPr>
            <w:tcW w:type="dxa" w:w="3456"/>
            <w:vAlign w:val="center"/>
          </w:tcPr>
          <w:p>
            <w:pPr>
              <w:jc w:val="left"/>
            </w:pPr>
            <w:r/>
            <w:r>
              <w:rPr>
                <w:rFonts w:ascii="Aptos" w:hAnsi="Aptos"/>
                <w:b w:val="0"/>
                <w:sz w:val="16"/>
              </w:rPr>
              <w:t>Gemini Enterprise seat and usage growth</w:t>
            </w:r>
          </w:p>
        </w:tc>
        <w:tc>
          <w:tcPr>
            <w:tcW w:type="dxa" w:w="3456"/>
            <w:vAlign w:val="center"/>
          </w:tcPr>
          <w:p>
            <w:pPr>
              <w:jc w:val="right"/>
            </w:pPr>
            <w:r/>
            <w:r>
              <w:rPr>
                <w:rFonts w:ascii="Aptos" w:hAnsi="Aptos"/>
                <w:b w:val="0"/>
                <w:sz w:val="16"/>
              </w:rPr>
              <w:t>2026</w:t>
            </w:r>
          </w:p>
        </w:tc>
        <w:tc>
          <w:tcPr>
            <w:tcW w:type="dxa" w:w="3456"/>
            <w:vAlign w:val="center"/>
          </w:tcPr>
          <w:p>
            <w:pPr>
              <w:jc w:val="right"/>
            </w:pPr>
            <w:r/>
            <w:r>
              <w:rPr>
                <w:rFonts w:ascii="Aptos" w:hAnsi="Aptos"/>
                <w:b w:val="0"/>
                <w:sz w:val="16"/>
              </w:rPr>
              <w:t>Validates enterprise AI revenue opportunity</w:t>
            </w:r>
          </w:p>
        </w:tc>
      </w:tr>
      <w:tr>
        <w:tc>
          <w:tcPr>
            <w:tcW w:type="dxa" w:w="3456"/>
            <w:vAlign w:val="center"/>
            <w:shd w:fill="EEF2F6"/>
          </w:tcPr>
          <w:p>
            <w:pPr>
              <w:jc w:val="left"/>
            </w:pPr>
            <w:r/>
            <w:r>
              <w:rPr>
                <w:rFonts w:ascii="Aptos" w:hAnsi="Aptos"/>
                <w:b w:val="0"/>
                <w:sz w:val="16"/>
              </w:rPr>
              <w:t>Improved capex efficiency or lower-than-feared 2027 capex</w:t>
            </w:r>
          </w:p>
        </w:tc>
        <w:tc>
          <w:tcPr>
            <w:tcW w:type="dxa" w:w="3456"/>
            <w:vAlign w:val="center"/>
            <w:shd w:fill="EEF2F6"/>
          </w:tcPr>
          <w:p>
            <w:pPr>
              <w:jc w:val="right"/>
            </w:pPr>
            <w:r/>
            <w:r>
              <w:rPr>
                <w:rFonts w:ascii="Aptos" w:hAnsi="Aptos"/>
                <w:b w:val="0"/>
                <w:sz w:val="16"/>
              </w:rPr>
              <w:t>Late 2026 / early 2027</w:t>
            </w:r>
          </w:p>
        </w:tc>
        <w:tc>
          <w:tcPr>
            <w:tcW w:type="dxa" w:w="3456"/>
            <w:vAlign w:val="center"/>
            <w:shd w:fill="EEF2F6"/>
          </w:tcPr>
          <w:p>
            <w:pPr>
              <w:jc w:val="right"/>
            </w:pPr>
            <w:r/>
            <w:r>
              <w:rPr>
                <w:rFonts w:ascii="Aptos" w:hAnsi="Aptos"/>
                <w:b w:val="0"/>
                <w:sz w:val="16"/>
              </w:rPr>
              <w:t>Raises free-cash-flow estimates and valuation</w:t>
            </w:r>
          </w:p>
        </w:tc>
      </w:tr>
      <w:tr>
        <w:tc>
          <w:tcPr>
            <w:tcW w:type="dxa" w:w="3456"/>
            <w:vAlign w:val="center"/>
          </w:tcPr>
          <w:p>
            <w:pPr>
              <w:jc w:val="left"/>
            </w:pPr>
            <w:r/>
            <w:r>
              <w:rPr>
                <w:rFonts w:ascii="Aptos" w:hAnsi="Aptos"/>
                <w:b w:val="0"/>
                <w:sz w:val="16"/>
              </w:rPr>
              <w:t>Wiz and Intersect integration milestones</w:t>
            </w:r>
          </w:p>
        </w:tc>
        <w:tc>
          <w:tcPr>
            <w:tcW w:type="dxa" w:w="3456"/>
            <w:vAlign w:val="center"/>
          </w:tcPr>
          <w:p>
            <w:pPr>
              <w:jc w:val="right"/>
            </w:pPr>
            <w:r/>
            <w:r>
              <w:rPr>
                <w:rFonts w:ascii="Aptos" w:hAnsi="Aptos"/>
                <w:b w:val="0"/>
                <w:sz w:val="16"/>
              </w:rPr>
              <w:t>2026-2027</w:t>
            </w:r>
          </w:p>
        </w:tc>
        <w:tc>
          <w:tcPr>
            <w:tcW w:type="dxa" w:w="3456"/>
            <w:vAlign w:val="center"/>
          </w:tcPr>
          <w:p>
            <w:pPr>
              <w:jc w:val="right"/>
            </w:pPr>
            <w:r/>
            <w:r>
              <w:rPr>
                <w:rFonts w:ascii="Aptos" w:hAnsi="Aptos"/>
                <w:b w:val="0"/>
                <w:sz w:val="16"/>
              </w:rPr>
              <w:t>Strengthens security and data-center capacity</w:t>
            </w:r>
          </w:p>
        </w:tc>
      </w:tr>
      <w:tr>
        <w:tc>
          <w:tcPr>
            <w:tcW w:type="dxa" w:w="3456"/>
            <w:vAlign w:val="center"/>
            <w:shd w:fill="EEF2F6"/>
          </w:tcPr>
          <w:p>
            <w:pPr>
              <w:jc w:val="left"/>
            </w:pPr>
            <w:r/>
            <w:r>
              <w:rPr>
                <w:rFonts w:ascii="Aptos" w:hAnsi="Aptos"/>
                <w:b w:val="0"/>
                <w:sz w:val="16"/>
              </w:rPr>
              <w:t>Waymo commercial expansion or external valuation event</w:t>
            </w:r>
          </w:p>
        </w:tc>
        <w:tc>
          <w:tcPr>
            <w:tcW w:type="dxa" w:w="3456"/>
            <w:vAlign w:val="center"/>
            <w:shd w:fill="EEF2F6"/>
          </w:tcPr>
          <w:p>
            <w:pPr>
              <w:jc w:val="right"/>
            </w:pPr>
            <w:r/>
            <w:r>
              <w:rPr>
                <w:rFonts w:ascii="Aptos" w:hAnsi="Aptos"/>
                <w:b w:val="0"/>
                <w:sz w:val="16"/>
              </w:rPr>
              <w:t>2026-2027</w:t>
            </w:r>
          </w:p>
        </w:tc>
        <w:tc>
          <w:tcPr>
            <w:tcW w:type="dxa" w:w="3456"/>
            <w:vAlign w:val="center"/>
            <w:shd w:fill="EEF2F6"/>
          </w:tcPr>
          <w:p>
            <w:pPr>
              <w:jc w:val="right"/>
            </w:pPr>
            <w:r/>
            <w:r>
              <w:rPr>
                <w:rFonts w:ascii="Aptos" w:hAnsi="Aptos"/>
                <w:b w:val="0"/>
                <w:sz w:val="16"/>
              </w:rPr>
              <w:t>Unlocks option value not fully reflected in base case</w:t>
            </w:r>
          </w:p>
        </w:tc>
      </w:tr>
      <w:tr>
        <w:tc>
          <w:tcPr>
            <w:tcW w:type="dxa" w:w="3456"/>
            <w:vAlign w:val="center"/>
          </w:tcPr>
          <w:p>
            <w:pPr>
              <w:jc w:val="left"/>
            </w:pPr>
            <w:r/>
            <w:r>
              <w:rPr>
                <w:rFonts w:ascii="Aptos" w:hAnsi="Aptos"/>
                <w:b w:val="0"/>
                <w:sz w:val="16"/>
              </w:rPr>
              <w:t>Continued repurchases during volatility</w:t>
            </w:r>
          </w:p>
        </w:tc>
        <w:tc>
          <w:tcPr>
            <w:tcW w:type="dxa" w:w="3456"/>
            <w:vAlign w:val="center"/>
          </w:tcPr>
          <w:p>
            <w:pPr>
              <w:jc w:val="right"/>
            </w:pPr>
            <w:r/>
            <w:r>
              <w:rPr>
                <w:rFonts w:ascii="Aptos" w:hAnsi="Aptos"/>
                <w:b w:val="0"/>
                <w:sz w:val="16"/>
              </w:rPr>
              <w:t>Ongoing</w:t>
            </w:r>
          </w:p>
        </w:tc>
        <w:tc>
          <w:tcPr>
            <w:tcW w:type="dxa" w:w="3456"/>
            <w:vAlign w:val="center"/>
          </w:tcPr>
          <w:p>
            <w:pPr>
              <w:jc w:val="right"/>
            </w:pPr>
            <w:r/>
            <w:r>
              <w:rPr>
                <w:rFonts w:ascii="Aptos" w:hAnsi="Aptos"/>
                <w:b w:val="0"/>
                <w:sz w:val="16"/>
              </w:rPr>
              <w:t>Supports per-share value</w:t>
            </w:r>
          </w:p>
        </w:tc>
      </w:tr>
    </w:tbl>
    <w:p>
      <w:pPr>
        <w:spacing w:after="0"/>
      </w:pPr>
    </w:p>
    <w:p>
      <w:r>
        <w:br w:type="page"/>
      </w:r>
    </w:p>
    <w:p>
      <w:pPr>
        <w:pStyle w:val="Heading1"/>
      </w:pPr>
      <w:r>
        <w:t>13. Investment Risks</w:t>
      </w:r>
    </w:p>
    <w:p>
      <w:r>
        <w:rPr>
          <w:b/>
        </w:rPr>
        <w:t xml:space="preserve">AI capex returns: </w:t>
      </w:r>
      <w:r>
        <w:t>Management expected $175-$185 billion of 2026 capex. If demand, utilization, pricing, or hardware life fails to support adequate returns, free cash flow and valuation could remain depressed.</w:t>
      </w:r>
    </w:p>
    <w:p>
      <w:r>
        <w:rPr>
          <w:b/>
        </w:rPr>
        <w:t xml:space="preserve">Search disruption: </w:t>
      </w:r>
      <w:r>
        <w:t>Standalone assistants and answer engines could reduce traditional query share, commercial click-through, or advertiser economics.</w:t>
      </w:r>
    </w:p>
    <w:p>
      <w:r>
        <w:rPr>
          <w:b/>
        </w:rPr>
        <w:t xml:space="preserve">Regulatory and antitrust remedies: </w:t>
      </w:r>
      <w:r>
        <w:t>Distribution agreements, ad technology, app-store practices, privacy requirements, and European fines could raise costs or weaken competitive advantages.</w:t>
      </w:r>
    </w:p>
    <w:p>
      <w:r>
        <w:rPr>
          <w:b/>
        </w:rPr>
        <w:t xml:space="preserve">Cloud competition: </w:t>
      </w:r>
      <w:r>
        <w:t>AWS, Microsoft, Oracle, and specialized AI infrastructure providers may pressure price, capacity access, and customer commitments.</w:t>
      </w:r>
    </w:p>
    <w:p>
      <w:r>
        <w:rPr>
          <w:b/>
        </w:rPr>
        <w:t xml:space="preserve">Model and product execution: </w:t>
      </w:r>
      <w:r>
        <w:t>AI model leadership is not permanent. Safety failures, hallucinations, product delays, or weak developer adoption could damage the thesis.</w:t>
      </w:r>
    </w:p>
    <w:p>
      <w:r>
        <w:rPr>
          <w:b/>
        </w:rPr>
        <w:t xml:space="preserve">Legal and accounting volatility: </w:t>
      </w:r>
      <w:r>
        <w:t>Alphabet had $15.6 billion of accrued short-term legal and regulatory fines and settlements at year-end 2025. Investment gains also introduce earnings volatility.</w:t>
      </w:r>
    </w:p>
    <w:p>
      <w:r>
        <w:rPr>
          <w:b/>
        </w:rPr>
        <w:t xml:space="preserve">Other Bets losses: </w:t>
      </w:r>
      <w:r>
        <w:t>Waymo and other businesses may require substantial funding without producing near-term earnings.</w:t>
      </w:r>
    </w:p>
    <w:p>
      <w:pPr>
        <w:pStyle w:val="Heading2"/>
      </w:pPr>
      <w:r>
        <w:t>Thesis invalidation indicators</w:t>
      </w:r>
    </w:p>
    <w:p>
      <w:pPr>
        <w:pStyle w:val="ListBullet"/>
      </w:pPr>
      <w:r>
        <w:t>Two or more quarters of Search deceleration not explained by macro conditions.</w:t>
      </w:r>
    </w:p>
    <w:p>
      <w:pPr>
        <w:pStyle w:val="ListBullet"/>
      </w:pPr>
      <w:r>
        <w:t>Cloud backlog growth stalls while capex remains near peak levels.</w:t>
      </w:r>
    </w:p>
    <w:p>
      <w:pPr>
        <w:pStyle w:val="ListBullet"/>
      </w:pPr>
      <w:r>
        <w:t>2027 capex fails to moderate and free cash flow does not begin recovering.</w:t>
      </w:r>
    </w:p>
    <w:p>
      <w:pPr>
        <w:pStyle w:val="ListBullet"/>
      </w:pPr>
      <w:r>
        <w:t>Material evidence that AI interfaces cannibalize commercial Search usage.</w:t>
      </w:r>
    </w:p>
    <w:p>
      <w:pPr>
        <w:pStyle w:val="ListBullet"/>
      </w:pPr>
      <w:r>
        <w:t>Regulatory remedies materially reduce default distribution or ad-tech economics.</w:t>
      </w:r>
    </w:p>
    <w:p>
      <w:r>
        <w:br w:type="page"/>
      </w:r>
    </w:p>
    <w:p>
      <w:pPr>
        <w:pStyle w:val="Heading1"/>
      </w:pPr>
      <w:r>
        <w:t>14. Governance, ESG, and Capital Allocation</w:t>
      </w:r>
    </w:p>
    <w:p>
      <w:r>
        <w:t>Alphabet's dual-class structure concentrates voting control with founders and insiders, limiting the influence of Class A shareholders. This structure supports long-term investment but reduces external governance accountability. The analysis applies a modest governance discount through conservative valuation weights rather than a separate numerical deduction.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18304A"/>
          </w:tcPr>
          <w:p>
            <w:pPr>
              <w:jc w:val="center"/>
            </w:pPr>
            <w:r/>
            <w:r>
              <w:rPr>
                <w:rFonts w:ascii="Aptos" w:hAnsi="Aptos"/>
                <w:b/>
                <w:color w:val="FFFFFF"/>
                <w:sz w:val="16"/>
              </w:rPr>
              <w:t>Topic</w:t>
            </w:r>
          </w:p>
        </w:tc>
        <w:tc>
          <w:tcPr>
            <w:tcW w:type="dxa" w:w="5184"/>
            <w:vAlign w:val="center"/>
            <w:shd w:fill="18304A"/>
          </w:tcPr>
          <w:p>
            <w:pPr>
              <w:jc w:val="center"/>
            </w:pPr>
            <w:r/>
            <w:r>
              <w:rPr>
                <w:rFonts w:ascii="Aptos" w:hAnsi="Aptos"/>
                <w:b/>
                <w:color w:val="FFFFFF"/>
                <w:sz w:val="16"/>
              </w:rPr>
              <w:t>Assessment</w:t>
            </w:r>
          </w:p>
        </w:tc>
      </w:tr>
      <w:tr>
        <w:tc>
          <w:tcPr>
            <w:tcW w:type="dxa" w:w="5184"/>
            <w:vAlign w:val="center"/>
          </w:tcPr>
          <w:p>
            <w:pPr>
              <w:jc w:val="left"/>
            </w:pPr>
            <w:r/>
            <w:r>
              <w:rPr>
                <w:rFonts w:ascii="Aptos" w:hAnsi="Aptos"/>
                <w:b w:val="0"/>
                <w:sz w:val="16"/>
              </w:rPr>
              <w:t>Board and voting structure</w:t>
            </w:r>
          </w:p>
        </w:tc>
        <w:tc>
          <w:tcPr>
            <w:tcW w:type="dxa" w:w="5184"/>
            <w:vAlign w:val="center"/>
          </w:tcPr>
          <w:p>
            <w:pPr>
              <w:jc w:val="right"/>
            </w:pPr>
            <w:r/>
            <w:r>
              <w:rPr>
                <w:rFonts w:ascii="Aptos" w:hAnsi="Aptos"/>
                <w:b w:val="0"/>
                <w:sz w:val="16"/>
              </w:rPr>
              <w:t>Dual-class control limits minority shareholder influence.</w:t>
            </w:r>
          </w:p>
        </w:tc>
      </w:tr>
      <w:tr>
        <w:tc>
          <w:tcPr>
            <w:tcW w:type="dxa" w:w="5184"/>
            <w:vAlign w:val="center"/>
            <w:shd w:fill="EEF2F6"/>
          </w:tcPr>
          <w:p>
            <w:pPr>
              <w:jc w:val="left"/>
            </w:pPr>
            <w:r/>
            <w:r>
              <w:rPr>
                <w:rFonts w:ascii="Aptos" w:hAnsi="Aptos"/>
                <w:b w:val="0"/>
                <w:sz w:val="16"/>
              </w:rPr>
              <w:t>Executive incentives</w:t>
            </w:r>
          </w:p>
        </w:tc>
        <w:tc>
          <w:tcPr>
            <w:tcW w:type="dxa" w:w="5184"/>
            <w:vAlign w:val="center"/>
            <w:shd w:fill="EEF2F6"/>
          </w:tcPr>
          <w:p>
            <w:pPr>
              <w:jc w:val="right"/>
            </w:pPr>
            <w:r/>
            <w:r>
              <w:rPr>
                <w:rFonts w:ascii="Aptos" w:hAnsi="Aptos"/>
                <w:b w:val="0"/>
                <w:sz w:val="16"/>
              </w:rPr>
              <w:t>Long-term equity incentives can align management with value creation, though valuation-based compensation may add expense volatility.</w:t>
            </w:r>
          </w:p>
        </w:tc>
      </w:tr>
      <w:tr>
        <w:tc>
          <w:tcPr>
            <w:tcW w:type="dxa" w:w="5184"/>
            <w:vAlign w:val="center"/>
          </w:tcPr>
          <w:p>
            <w:pPr>
              <w:jc w:val="left"/>
            </w:pPr>
            <w:r/>
            <w:r>
              <w:rPr>
                <w:rFonts w:ascii="Aptos" w:hAnsi="Aptos"/>
                <w:b w:val="0"/>
                <w:sz w:val="16"/>
              </w:rPr>
              <w:t>Data privacy and content</w:t>
            </w:r>
          </w:p>
        </w:tc>
        <w:tc>
          <w:tcPr>
            <w:tcW w:type="dxa" w:w="5184"/>
            <w:vAlign w:val="center"/>
          </w:tcPr>
          <w:p>
            <w:pPr>
              <w:jc w:val="right"/>
            </w:pPr>
            <w:r/>
            <w:r>
              <w:rPr>
                <w:rFonts w:ascii="Aptos" w:hAnsi="Aptos"/>
                <w:b w:val="0"/>
                <w:sz w:val="16"/>
              </w:rPr>
              <w:t>Core products face persistent privacy, safety, competition, and content-governance scrutiny.</w:t>
            </w:r>
          </w:p>
        </w:tc>
      </w:tr>
      <w:tr>
        <w:tc>
          <w:tcPr>
            <w:tcW w:type="dxa" w:w="5184"/>
            <w:vAlign w:val="center"/>
            <w:shd w:fill="EEF2F6"/>
          </w:tcPr>
          <w:p>
            <w:pPr>
              <w:jc w:val="left"/>
            </w:pPr>
            <w:r/>
            <w:r>
              <w:rPr>
                <w:rFonts w:ascii="Aptos" w:hAnsi="Aptos"/>
                <w:b w:val="0"/>
                <w:sz w:val="16"/>
              </w:rPr>
              <w:t>Environmental footprint</w:t>
            </w:r>
          </w:p>
        </w:tc>
        <w:tc>
          <w:tcPr>
            <w:tcW w:type="dxa" w:w="5184"/>
            <w:vAlign w:val="center"/>
            <w:shd w:fill="EEF2F6"/>
          </w:tcPr>
          <w:p>
            <w:pPr>
              <w:jc w:val="right"/>
            </w:pPr>
            <w:r/>
            <w:r>
              <w:rPr>
                <w:rFonts w:ascii="Aptos" w:hAnsi="Aptos"/>
                <w:b w:val="0"/>
                <w:sz w:val="16"/>
              </w:rPr>
              <w:t>Data-center energy and water use rise with AI workloads; efficiency and clean-energy procurement are strategically important.</w:t>
            </w:r>
          </w:p>
        </w:tc>
      </w:tr>
      <w:tr>
        <w:tc>
          <w:tcPr>
            <w:tcW w:type="dxa" w:w="5184"/>
            <w:vAlign w:val="center"/>
          </w:tcPr>
          <w:p>
            <w:pPr>
              <w:jc w:val="left"/>
            </w:pPr>
            <w:r/>
            <w:r>
              <w:rPr>
                <w:rFonts w:ascii="Aptos" w:hAnsi="Aptos"/>
                <w:b w:val="0"/>
                <w:sz w:val="16"/>
              </w:rPr>
              <w:t>Human capital</w:t>
            </w:r>
          </w:p>
        </w:tc>
        <w:tc>
          <w:tcPr>
            <w:tcW w:type="dxa" w:w="5184"/>
            <w:vAlign w:val="center"/>
          </w:tcPr>
          <w:p>
            <w:pPr>
              <w:jc w:val="right"/>
            </w:pPr>
            <w:r/>
            <w:r>
              <w:rPr>
                <w:rFonts w:ascii="Aptos" w:hAnsi="Aptos"/>
                <w:b w:val="0"/>
                <w:sz w:val="16"/>
              </w:rPr>
              <w:t>AI talent competition raises compensation costs and execution risk.</w:t>
            </w:r>
          </w:p>
        </w:tc>
      </w:tr>
      <w:tr>
        <w:tc>
          <w:tcPr>
            <w:tcW w:type="dxa" w:w="5184"/>
            <w:vAlign w:val="center"/>
            <w:shd w:fill="EEF2F6"/>
          </w:tcPr>
          <w:p>
            <w:pPr>
              <w:jc w:val="left"/>
            </w:pPr>
            <w:r/>
            <w:r>
              <w:rPr>
                <w:rFonts w:ascii="Aptos" w:hAnsi="Aptos"/>
                <w:b w:val="0"/>
                <w:sz w:val="16"/>
              </w:rPr>
              <w:t>Capital returns</w:t>
            </w:r>
          </w:p>
        </w:tc>
        <w:tc>
          <w:tcPr>
            <w:tcW w:type="dxa" w:w="5184"/>
            <w:vAlign w:val="center"/>
            <w:shd w:fill="EEF2F6"/>
          </w:tcPr>
          <w:p>
            <w:pPr>
              <w:jc w:val="right"/>
            </w:pPr>
            <w:r/>
            <w:r>
              <w:rPr>
                <w:rFonts w:ascii="Aptos" w:hAnsi="Aptos"/>
                <w:b w:val="0"/>
                <w:sz w:val="16"/>
              </w:rPr>
              <w:t>Repurchases and dividends provide recurring shareholder returns after growth investment.</w:t>
            </w:r>
          </w:p>
        </w:tc>
      </w:tr>
    </w:tbl>
    <w:p>
      <w:pPr>
        <w:spacing w:after="0"/>
      </w:pPr>
    </w:p>
    <w:p>
      <w:r>
        <w:br w:type="page"/>
      </w:r>
    </w:p>
    <w:p>
      <w:pPr>
        <w:pStyle w:val="Heading1"/>
      </w:pPr>
      <w:r>
        <w:t>15. Appendix: Source Notes and Disclosures</w:t>
      </w:r>
    </w:p>
    <w:p>
      <w:pPr>
        <w:pStyle w:val="Heading2"/>
      </w:pPr>
      <w:r>
        <w:t>Primary public sources</w:t>
      </w:r>
    </w:p>
    <w:p>
      <w:pPr>
        <w:pStyle w:val="ListNumber"/>
      </w:pPr>
      <w:r>
        <w:t>Alphabet Inc., Annual Report on Form 10-K for the year ended December 31, 2025, filed February 4, 2026.</w:t>
      </w:r>
    </w:p>
    <w:p>
      <w:pPr>
        <w:pStyle w:val="ListNumber"/>
      </w:pPr>
      <w:r>
        <w:t>Alphabet Inc., Fourth Quarter and Fiscal Year 2025 earnings release, dated February 4, 2026.</w:t>
      </w:r>
    </w:p>
    <w:p>
      <w:pPr>
        <w:pStyle w:val="ListNumber"/>
      </w:pPr>
      <w:r>
        <w:t>Alphabet Inc., Q4 2025 earnings conference call transcript, February 4, 2026.</w:t>
      </w:r>
    </w:p>
    <w:p>
      <w:pPr>
        <w:pStyle w:val="ListNumber"/>
      </w:pPr>
      <w:r>
        <w:t>Yahoo Finance, GOOGL historical data for March 12, 2026 (open $306.82; high $308.94; low $301.03; close $303.55; adjusted close $303.37; volume 24.9 million).</w:t>
      </w:r>
    </w:p>
    <w:p>
      <w:pPr>
        <w:pStyle w:val="ListNumber"/>
      </w:pPr>
      <w:r>
        <w:t>All forecasts, target prices, scenario probabilities, valuation multiples, and recommendations are independent analyst estimates prepared for this project.</w:t>
      </w:r>
    </w:p>
    <w:p>
      <w:pPr>
        <w:pStyle w:val="Heading2"/>
      </w:pPr>
      <w:r>
        <w:t>Date-control statement</w:t>
      </w:r>
    </w:p>
    <w:p>
      <w:r>
        <w:t>This report is intentionally written as of March 12, 2026. It excludes Alphabet financial results, guidance, market prices, corporate actions, and other information first released after that date. References to later outcomes are not used in the thesis or valuation.</w:t>
      </w:r>
    </w:p>
    <w:p>
      <w:pPr>
        <w:pStyle w:val="Heading2"/>
      </w:pPr>
      <w:r>
        <w:t>Important disclosure</w:t>
      </w:r>
    </w:p>
    <w:p>
      <w:r>
        <w:t>This document is an educational portfolio project and is not investment advice, an offer to buy or sell securities, or research issued by a registered broker-dealer or investment adviser. The author may not have access to all information available to professional analysts. Forecasts are inherently uncertain, and actual results may differ materially.</w:t>
      </w:r>
    </w:p>
    <w:p>
      <w:pPr>
        <w:pStyle w:val="Heading2"/>
      </w:pPr>
      <w:r>
        <w:t>Website project summary</w:t>
      </w:r>
    </w:p>
    <w:p>
      <w:pPr>
        <w:pStyle w:val="Callout"/>
      </w:pPr>
      <w:r>
        <w:rPr>
          <w:b/>
        </w:rPr>
        <w:t xml:space="preserve">Equity Research: Alphabet Inc. (GOOGL) - BUY, $320 Target. </w:t>
      </w:r>
      <w:r>
        <w:t>Developed a multi-year financial forecast and valued Alphabet using discounted cash flow, forward earnings, and comparable-company frameworks. The analysis evaluates Search and Cloud growth, AI monetization, a 2026 infrastructure-investment cycle, scenario outcomes, catalysts, and key regulatory and execution risks.</w:t>
      </w:r>
    </w:p>
    <w:sectPr w:rsidR="00FC693F" w:rsidRPr="0006063C" w:rsidSect="00034616">
      <w:headerReference w:type="default" r:id="rId9"/>
      <w:footerReference w:type="default" r:id="rId10"/>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5"/>
      </w:rPr>
      <w:t>Independent educational research - not investment advice | Davis Sahr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5A5A5A"/>
        <w:sz w:val="15"/>
      </w:rPr>
      <w:t>ALPHABET INC. (NASDAQ: GOOGL) | EQUITY RESEARCH | AS OF MARCH 12,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ptos Display" w:hAnsi="Aptos Display"/>
      <w:b/>
      <w:bCs/>
      <w:color w:val="182D48"/>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375470"/>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375470"/>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60"/>
      <w:contextualSpacing/>
    </w:pPr>
    <w:rPr>
      <w:rFonts w:asciiTheme="majorHAnsi" w:eastAsiaTheme="majorEastAsia" w:hAnsiTheme="majorHAnsi" w:cstheme="majorBidi" w:ascii="Aptos Display" w:hAnsi="Aptos Display"/>
      <w:b/>
      <w:color w:val="182D48"/>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00" w:after="100"/>
      <w:ind w:left="288" w:right="288"/>
    </w:pPr>
    <w:rPr>
      <w:rFonts w:ascii="Aptos" w:hAnsi="Aptos"/>
      <w:b/>
      <w:color w:val="182D48"/>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